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9"/>
        <w:tabs>
          <w:tab w:val="right" w:leader="dot" w:pos="8306"/>
        </w:tabs>
      </w:pPr>
      <w:bookmarkStart w:id="0" w:name="_Toc26226"/>
      <w:r>
        <w:fldChar w:fldCharType="begin"/>
      </w:r>
      <w:r>
        <w:instrText xml:space="preserve"> TOC \o "1-4" \h \z \u </w:instrText>
      </w:r>
      <w:r>
        <w:fldChar w:fldCharType="separate"/>
      </w:r>
      <w:r>
        <w:fldChar w:fldCharType="begin"/>
      </w:r>
      <w:r>
        <w:instrText xml:space="preserve"> HYPERLINK \l _Toc722193715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1.注册账号</w:t>
      </w:r>
      <w:r>
        <w:tab/>
      </w:r>
      <w:r>
        <w:fldChar w:fldCharType="begin"/>
      </w:r>
      <w:r>
        <w:instrText xml:space="preserve"> PAGEREF _Toc722193715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_Toc332195161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2.系统登录</w:t>
      </w:r>
      <w:r>
        <w:tab/>
      </w:r>
      <w:r>
        <w:fldChar w:fldCharType="begin"/>
      </w:r>
      <w:r>
        <w:instrText xml:space="preserve"> PAGEREF _Toc332195161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_Toc1894072374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2.1系统登录</w:t>
      </w:r>
      <w:r>
        <w:tab/>
      </w:r>
      <w:r>
        <w:fldChar w:fldCharType="begin"/>
      </w:r>
      <w:r>
        <w:instrText xml:space="preserve"> PAGEREF _Toc1894072374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_Toc1524290337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2.2忘记密码</w:t>
      </w:r>
      <w:r>
        <w:tab/>
      </w:r>
      <w:r>
        <w:fldChar w:fldCharType="begin"/>
      </w:r>
      <w:r>
        <w:instrText xml:space="preserve"> PAGEREF _Toc1524290337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_Toc1415268896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3.试验申请</w:t>
      </w:r>
      <w:r>
        <w:tab/>
      </w:r>
      <w:r>
        <w:fldChar w:fldCharType="begin"/>
      </w:r>
      <w:r>
        <w:instrText xml:space="preserve"> PAGEREF _Toc1415268896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_Toc895460900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 xml:space="preserve">4. </w:t>
      </w:r>
      <w:r>
        <w:rPr>
          <w:rFonts w:hint="eastAsia" w:ascii="宋体" w:hAnsi="宋体" w:eastAsia="宋体" w:cs="宋体"/>
          <w:szCs w:val="21"/>
          <w:lang w:val="en-US" w:eastAsia="zh-Hans"/>
        </w:rPr>
        <w:t>查看、修改</w:t>
      </w:r>
      <w:r>
        <w:rPr>
          <w:rFonts w:hint="eastAsia" w:ascii="宋体" w:hAnsi="宋体" w:eastAsia="宋体" w:cs="宋体"/>
          <w:szCs w:val="21"/>
        </w:rPr>
        <w:t>项目</w:t>
      </w:r>
      <w:r>
        <w:rPr>
          <w:rFonts w:hint="eastAsia" w:ascii="宋体" w:hAnsi="宋体" w:eastAsia="宋体" w:cs="宋体"/>
          <w:szCs w:val="21"/>
          <w:lang w:val="en-US" w:eastAsia="zh-Hans"/>
        </w:rPr>
        <w:t>基本</w:t>
      </w:r>
      <w:r>
        <w:rPr>
          <w:rFonts w:hint="eastAsia" w:ascii="宋体" w:hAnsi="宋体" w:eastAsia="宋体" w:cs="宋体"/>
          <w:szCs w:val="21"/>
        </w:rPr>
        <w:t>信息</w:t>
      </w:r>
      <w:r>
        <w:tab/>
      </w:r>
      <w:r>
        <w:fldChar w:fldCharType="begin"/>
      </w:r>
      <w:r>
        <w:instrText xml:space="preserve"> PAGEREF _Toc895460900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_Toc445948124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5.</w:t>
      </w:r>
      <w:r>
        <w:rPr>
          <w:rFonts w:hint="eastAsia" w:ascii="宋体" w:hAnsi="宋体" w:eastAsia="宋体" w:cs="宋体"/>
          <w:szCs w:val="21"/>
          <w:lang w:val="en-US" w:eastAsia="zh-Hans"/>
        </w:rPr>
        <w:t>项目人员</w:t>
      </w:r>
      <w:r>
        <w:tab/>
      </w:r>
      <w:r>
        <w:fldChar w:fldCharType="begin"/>
      </w:r>
      <w:r>
        <w:instrText xml:space="preserve"> PAGEREF _Toc445948124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6"/>
        <w:tabs>
          <w:tab w:val="right" w:leader="dot" w:pos="8306"/>
        </w:tabs>
      </w:pPr>
      <w:r>
        <w:fldChar w:fldCharType="begin"/>
      </w:r>
      <w:r>
        <w:instrText xml:space="preserve"> HYPERLINK \l _Toc332192038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5.1项目组织人员</w:t>
      </w:r>
      <w:r>
        <w:tab/>
      </w:r>
      <w:r>
        <w:fldChar w:fldCharType="begin"/>
      </w:r>
      <w:r>
        <w:instrText xml:space="preserve"> PAGEREF _Toc332192038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6"/>
        <w:tabs>
          <w:tab w:val="right" w:leader="dot" w:pos="8306"/>
        </w:tabs>
      </w:pPr>
      <w:r>
        <w:fldChar w:fldCharType="begin"/>
      </w:r>
      <w:r>
        <w:instrText xml:space="preserve"> HYPERLINK \l _Toc1841584113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5.2人员变更申请</w:t>
      </w:r>
      <w:r>
        <w:tab/>
      </w:r>
      <w:r>
        <w:fldChar w:fldCharType="begin"/>
      </w:r>
      <w:r>
        <w:instrText xml:space="preserve"> PAGEREF _Toc1841584113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_Toc1969866627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6.</w:t>
      </w:r>
      <w:r>
        <w:rPr>
          <w:rFonts w:hint="eastAsia" w:ascii="宋体" w:hAnsi="宋体" w:eastAsia="宋体" w:cs="宋体"/>
          <w:szCs w:val="21"/>
        </w:rPr>
        <w:t>预约</w:t>
      </w:r>
      <w:r>
        <w:tab/>
      </w:r>
      <w:r>
        <w:fldChar w:fldCharType="begin"/>
      </w:r>
      <w:r>
        <w:instrText xml:space="preserve"> PAGEREF _Toc1969866627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_Toc1940497837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7</w:t>
      </w:r>
      <w:r>
        <w:rPr>
          <w:rFonts w:hint="eastAsia" w:ascii="宋体" w:hAnsi="宋体" w:eastAsia="宋体" w:cs="宋体"/>
          <w:szCs w:val="21"/>
        </w:rPr>
        <w:t>.项目启动</w:t>
      </w:r>
      <w:r>
        <w:tab/>
      </w:r>
      <w:r>
        <w:fldChar w:fldCharType="begin"/>
      </w:r>
      <w:r>
        <w:instrText xml:space="preserve"> PAGEREF _Toc1940497837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_Toc112999470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8.</w:t>
      </w:r>
      <w:r>
        <w:rPr>
          <w:rFonts w:hint="eastAsia" w:ascii="宋体" w:hAnsi="宋体" w:eastAsia="宋体" w:cs="宋体"/>
          <w:szCs w:val="21"/>
          <w:lang w:val="en-US" w:eastAsia="zh-Hans"/>
        </w:rPr>
        <w:t>处理被驳回的项目材料</w:t>
      </w:r>
      <w:r>
        <w:tab/>
      </w:r>
      <w:r>
        <w:fldChar w:fldCharType="begin"/>
      </w:r>
      <w:r>
        <w:instrText xml:space="preserve"> PAGEREF _Toc112999470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_Toc806548342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 xml:space="preserve">9. </w:t>
      </w:r>
      <w:r>
        <w:rPr>
          <w:rFonts w:hint="eastAsia" w:ascii="宋体" w:hAnsi="宋体" w:eastAsia="宋体" w:cs="宋体"/>
          <w:szCs w:val="21"/>
        </w:rPr>
        <w:t>受试者</w:t>
      </w:r>
      <w:r>
        <w:tab/>
      </w:r>
      <w:r>
        <w:fldChar w:fldCharType="begin"/>
      </w:r>
      <w:r>
        <w:instrText xml:space="preserve"> PAGEREF _Toc806548342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_Toc741204130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9.1</w:t>
      </w:r>
      <w:r>
        <w:rPr>
          <w:rFonts w:hint="eastAsia" w:ascii="宋体" w:hAnsi="宋体" w:eastAsia="宋体" w:cs="宋体"/>
          <w:szCs w:val="21"/>
          <w:lang w:val="en-US" w:eastAsia="zh-Hans"/>
        </w:rPr>
        <w:t>受试者</w:t>
      </w:r>
      <w:r>
        <w:rPr>
          <w:rFonts w:hint="eastAsia" w:ascii="宋体" w:hAnsi="宋体" w:eastAsia="宋体" w:cs="宋体"/>
          <w:szCs w:val="21"/>
        </w:rPr>
        <w:t>随访</w:t>
      </w:r>
      <w:r>
        <w:tab/>
      </w:r>
      <w:r>
        <w:fldChar w:fldCharType="begin"/>
      </w:r>
      <w:r>
        <w:instrText xml:space="preserve"> PAGEREF _Toc741204130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_Toc2012660310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9.2</w:t>
      </w:r>
      <w:r>
        <w:rPr>
          <w:rFonts w:hint="eastAsia" w:ascii="宋体" w:hAnsi="宋体" w:eastAsia="宋体" w:cs="宋体"/>
          <w:szCs w:val="21"/>
        </w:rPr>
        <w:t>访视管理</w:t>
      </w:r>
      <w:r>
        <w:rPr>
          <w:rFonts w:hint="eastAsia" w:ascii="宋体" w:hAnsi="宋体" w:eastAsia="宋体" w:cs="宋体"/>
          <w:szCs w:val="21"/>
          <w:lang w:eastAsia="zh-Hans"/>
        </w:rPr>
        <w:t>【</w:t>
      </w:r>
      <w:r>
        <w:rPr>
          <w:rFonts w:hint="eastAsia" w:ascii="宋体" w:hAnsi="宋体" w:eastAsia="宋体" w:cs="宋体"/>
          <w:szCs w:val="21"/>
          <w:lang w:val="en-US" w:eastAsia="zh-Hans"/>
        </w:rPr>
        <w:t>CRA、PM</w:t>
      </w:r>
      <w:r>
        <w:rPr>
          <w:rFonts w:hint="eastAsia" w:ascii="宋体" w:hAnsi="宋体" w:eastAsia="宋体" w:cs="宋体"/>
          <w:szCs w:val="21"/>
          <w:lang w:eastAsia="zh-Hans"/>
        </w:rPr>
        <w:t>】</w:t>
      </w:r>
      <w:r>
        <w:tab/>
      </w:r>
      <w:r>
        <w:fldChar w:fldCharType="begin"/>
      </w:r>
      <w:r>
        <w:instrText xml:space="preserve"> PAGEREF _Toc2012660310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_Toc1766906273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9.3</w:t>
      </w:r>
      <w:r>
        <w:rPr>
          <w:rFonts w:hint="eastAsia" w:ascii="宋体" w:hAnsi="宋体" w:eastAsia="宋体" w:cs="宋体"/>
          <w:szCs w:val="21"/>
        </w:rPr>
        <w:t>随访日历</w:t>
      </w:r>
      <w:r>
        <w:tab/>
      </w:r>
      <w:r>
        <w:fldChar w:fldCharType="begin"/>
      </w:r>
      <w:r>
        <w:instrText xml:space="preserve"> PAGEREF _Toc1766906273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_Toc989859595 </w:instrText>
      </w:r>
      <w:r>
        <w:fldChar w:fldCharType="separate"/>
      </w:r>
      <w:r>
        <w:rPr>
          <w:rFonts w:hint="eastAsia" w:ascii="宋体" w:hAnsi="宋体" w:eastAsia="宋体" w:cs="宋体"/>
          <w:szCs w:val="21"/>
          <w:lang w:val="en-US" w:eastAsia="zh-Hans"/>
        </w:rPr>
        <w:t xml:space="preserve">10. </w:t>
      </w:r>
      <w:r>
        <w:rPr>
          <w:rFonts w:hint="eastAsia" w:ascii="宋体" w:hAnsi="宋体" w:eastAsia="宋体" w:cs="宋体"/>
          <w:szCs w:val="21"/>
          <w:lang w:val="en-US" w:eastAsia="zh-Hans"/>
        </w:rPr>
        <w:t>药品相关</w:t>
      </w:r>
      <w:r>
        <w:tab/>
      </w:r>
      <w:r>
        <w:fldChar w:fldCharType="begin"/>
      </w:r>
      <w:r>
        <w:instrText xml:space="preserve"> PAGEREF _Toc989859595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_Toc14399856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10.1</w:t>
      </w:r>
      <w:r>
        <w:rPr>
          <w:rFonts w:hint="eastAsia" w:ascii="宋体" w:hAnsi="宋体" w:eastAsia="宋体" w:cs="宋体"/>
          <w:szCs w:val="21"/>
        </w:rPr>
        <w:t>药品启动管理</w:t>
      </w:r>
      <w:r>
        <w:tab/>
      </w:r>
      <w:r>
        <w:fldChar w:fldCharType="begin"/>
      </w:r>
      <w:r>
        <w:instrText xml:space="preserve"> PAGEREF _Toc14399856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_Toc1500211328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10.2</w:t>
      </w:r>
      <w:r>
        <w:rPr>
          <w:rFonts w:hint="eastAsia" w:ascii="宋体" w:hAnsi="宋体" w:eastAsia="宋体" w:cs="宋体"/>
          <w:szCs w:val="21"/>
        </w:rPr>
        <w:t>包装规格备案</w:t>
      </w:r>
      <w:r>
        <w:tab/>
      </w:r>
      <w:r>
        <w:fldChar w:fldCharType="begin"/>
      </w:r>
      <w:r>
        <w:instrText xml:space="preserve"> PAGEREF _Toc1500211328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_Toc446290269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10.3</w:t>
      </w:r>
      <w:r>
        <w:rPr>
          <w:rFonts w:hint="eastAsia" w:ascii="宋体" w:hAnsi="宋体" w:eastAsia="宋体" w:cs="宋体"/>
          <w:szCs w:val="21"/>
          <w:lang w:val="en-US" w:eastAsia="zh-CN"/>
        </w:rPr>
        <w:t>设盲与分装</w:t>
      </w:r>
      <w:r>
        <w:rPr>
          <w:rFonts w:hint="eastAsia" w:ascii="宋体" w:hAnsi="宋体" w:eastAsia="宋体" w:cs="宋体"/>
          <w:szCs w:val="21"/>
        </w:rPr>
        <w:t>备案</w:t>
      </w:r>
      <w:r>
        <w:tab/>
      </w:r>
      <w:r>
        <w:fldChar w:fldCharType="begin"/>
      </w:r>
      <w:r>
        <w:instrText xml:space="preserve"> PAGEREF _Toc446290269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6"/>
        <w:tabs>
          <w:tab w:val="right" w:leader="dot" w:pos="8306"/>
        </w:tabs>
      </w:pPr>
      <w:r>
        <w:fldChar w:fldCharType="begin"/>
      </w:r>
      <w:r>
        <w:instrText xml:space="preserve"> HYPERLINK \l _Toc1787655759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</w:t>
      </w:r>
      <w:r>
        <w:rPr>
          <w:rFonts w:hint="eastAsia" w:ascii="宋体" w:hAnsi="宋体" w:eastAsia="宋体" w:cs="宋体"/>
          <w:szCs w:val="21"/>
          <w:lang w:val="en-US" w:eastAsia="zh-CN"/>
        </w:rPr>
        <w:t>3.1设盲包装备案</w:t>
      </w:r>
      <w:r>
        <w:tab/>
      </w:r>
      <w:r>
        <w:fldChar w:fldCharType="begin"/>
      </w:r>
      <w:r>
        <w:instrText xml:space="preserve"> PAGEREF _Toc1787655759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6"/>
        <w:tabs>
          <w:tab w:val="right" w:leader="dot" w:pos="8306"/>
        </w:tabs>
      </w:pPr>
      <w:r>
        <w:fldChar w:fldCharType="begin"/>
      </w:r>
      <w:r>
        <w:instrText xml:space="preserve"> HYPERLINK \l _Toc1834119983 </w:instrText>
      </w:r>
      <w:r>
        <w:fldChar w:fldCharType="separate"/>
      </w:r>
      <w:r>
        <w:rPr>
          <w:rFonts w:hint="default" w:ascii="宋体" w:hAnsi="宋体" w:eastAsia="宋体" w:cs="宋体"/>
          <w:bCs/>
          <w:kern w:val="2"/>
          <w:szCs w:val="21"/>
          <w:lang w:eastAsia="zh-CN" w:bidi="ar-SA"/>
        </w:rPr>
        <w:t>10</w:t>
      </w:r>
      <w:r>
        <w:rPr>
          <w:rFonts w:hint="eastAsia" w:ascii="宋体" w:hAnsi="宋体" w:eastAsia="宋体" w:cs="宋体"/>
          <w:bCs/>
          <w:kern w:val="2"/>
          <w:szCs w:val="21"/>
          <w:lang w:val="en-US" w:eastAsia="zh-CN" w:bidi="ar-SA"/>
        </w:rPr>
        <w:t>.3.2分装规则备案</w:t>
      </w:r>
      <w:r>
        <w:tab/>
      </w:r>
      <w:r>
        <w:fldChar w:fldCharType="begin"/>
      </w:r>
      <w:r>
        <w:instrText xml:space="preserve"> PAGEREF _Toc1834119983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_Toc1074285243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10.4</w:t>
      </w:r>
      <w:r>
        <w:rPr>
          <w:rFonts w:hint="eastAsia" w:ascii="宋体" w:hAnsi="宋体" w:eastAsia="宋体" w:cs="宋体"/>
          <w:szCs w:val="21"/>
          <w:lang w:val="en-US" w:eastAsia="zh-CN"/>
        </w:rPr>
        <w:t>药品</w:t>
      </w:r>
      <w:r>
        <w:rPr>
          <w:rFonts w:hint="eastAsia" w:ascii="宋体" w:hAnsi="宋体" w:eastAsia="宋体" w:cs="宋体"/>
          <w:szCs w:val="21"/>
          <w:lang w:val="en-US" w:eastAsia="zh-Hans"/>
        </w:rPr>
        <w:t>效期预警</w:t>
      </w:r>
      <w:r>
        <w:tab/>
      </w:r>
      <w:r>
        <w:fldChar w:fldCharType="begin"/>
      </w:r>
      <w:r>
        <w:instrText xml:space="preserve"> PAGEREF _Toc1074285243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_Toc1617058772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10.5</w:t>
      </w:r>
      <w:r>
        <w:rPr>
          <w:rFonts w:hint="eastAsia" w:ascii="宋体" w:hAnsi="宋体" w:eastAsia="宋体" w:cs="宋体"/>
          <w:szCs w:val="21"/>
          <w:lang w:val="en-US" w:eastAsia="zh-CN"/>
        </w:rPr>
        <w:t>药品</w:t>
      </w:r>
      <w:r>
        <w:rPr>
          <w:rFonts w:hint="eastAsia" w:ascii="宋体" w:hAnsi="宋体" w:eastAsia="宋体" w:cs="宋体"/>
          <w:szCs w:val="21"/>
          <w:lang w:val="en-US" w:eastAsia="zh-Hans"/>
        </w:rPr>
        <w:t>库存预警</w:t>
      </w:r>
      <w:r>
        <w:tab/>
      </w:r>
      <w:r>
        <w:fldChar w:fldCharType="begin"/>
      </w:r>
      <w:r>
        <w:instrText xml:space="preserve"> PAGEREF _Toc1617058772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_Toc1501228219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10.6</w:t>
      </w:r>
      <w:r>
        <w:rPr>
          <w:rFonts w:hint="eastAsia" w:ascii="宋体" w:hAnsi="宋体" w:eastAsia="宋体" w:cs="宋体"/>
          <w:szCs w:val="21"/>
          <w:lang w:val="en-US" w:eastAsia="zh-CN"/>
        </w:rPr>
        <w:t>接收申请</w:t>
      </w:r>
      <w:r>
        <w:tab/>
      </w:r>
      <w:r>
        <w:fldChar w:fldCharType="begin"/>
      </w:r>
      <w:r>
        <w:instrText xml:space="preserve"> PAGEREF _Toc1501228219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_Toc357308130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10.7</w:t>
      </w:r>
      <w:r>
        <w:rPr>
          <w:rFonts w:hint="eastAsia" w:ascii="宋体" w:hAnsi="宋体" w:eastAsia="宋体" w:cs="宋体"/>
          <w:szCs w:val="21"/>
          <w:lang w:val="en-US" w:eastAsia="zh-CN"/>
        </w:rPr>
        <w:t>退回申办者</w:t>
      </w:r>
      <w:r>
        <w:tab/>
      </w:r>
      <w:r>
        <w:fldChar w:fldCharType="begin"/>
      </w:r>
      <w:r>
        <w:instrText xml:space="preserve"> PAGEREF _Toc357308130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_Toc913463898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CN"/>
        </w:rPr>
        <w:t>10.8</w:t>
      </w:r>
      <w:r>
        <w:rPr>
          <w:rFonts w:hint="eastAsia" w:ascii="宋体" w:hAnsi="宋体" w:eastAsia="宋体" w:cs="宋体"/>
          <w:szCs w:val="21"/>
          <w:lang w:val="en-US" w:eastAsia="zh-CN"/>
        </w:rPr>
        <w:t>出入库和回收记录</w:t>
      </w:r>
      <w:r>
        <w:tab/>
      </w:r>
      <w:r>
        <w:fldChar w:fldCharType="begin"/>
      </w:r>
      <w:r>
        <w:instrText xml:space="preserve"> PAGEREF _Toc913463898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_Toc227141283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Hans"/>
        </w:rPr>
        <w:t>10.9</w:t>
      </w:r>
      <w:r>
        <w:rPr>
          <w:rFonts w:hint="eastAsia" w:ascii="宋体" w:hAnsi="宋体" w:eastAsia="宋体" w:cs="宋体"/>
          <w:szCs w:val="21"/>
          <w:lang w:val="en-US" w:eastAsia="zh-Hans"/>
        </w:rPr>
        <w:t>药品回收（非盲角色）</w:t>
      </w:r>
      <w:r>
        <w:tab/>
      </w:r>
      <w:r>
        <w:fldChar w:fldCharType="begin"/>
      </w:r>
      <w:r>
        <w:instrText xml:space="preserve"> PAGEREF _Toc227141283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_Toc1485102662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11.</w:t>
      </w:r>
      <w:r>
        <w:rPr>
          <w:rFonts w:hint="eastAsia" w:ascii="宋体" w:hAnsi="宋体" w:eastAsia="宋体" w:cs="宋体"/>
          <w:szCs w:val="21"/>
        </w:rPr>
        <w:t>质控整改</w:t>
      </w:r>
      <w:r>
        <w:tab/>
      </w:r>
      <w:r>
        <w:fldChar w:fldCharType="begin"/>
      </w:r>
      <w:r>
        <w:instrText xml:space="preserve"> PAGEREF _Toc1485102662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_Toc2065494800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12.</w:t>
      </w:r>
      <w:r>
        <w:rPr>
          <w:rFonts w:hint="eastAsia" w:ascii="宋体" w:hAnsi="宋体" w:eastAsia="宋体" w:cs="宋体"/>
          <w:szCs w:val="21"/>
        </w:rPr>
        <w:t>资料变更备案</w:t>
      </w:r>
      <w:r>
        <w:tab/>
      </w:r>
      <w:r>
        <w:fldChar w:fldCharType="begin"/>
      </w:r>
      <w:r>
        <w:instrText xml:space="preserve"> PAGEREF _Toc2065494800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_Toc697949845 </w:instrText>
      </w:r>
      <w:r>
        <w:fldChar w:fldCharType="separate"/>
      </w:r>
      <w:r>
        <w:rPr>
          <w:rFonts w:hint="eastAsia" w:ascii="宋体" w:hAnsi="宋体" w:eastAsia="宋体" w:cs="宋体"/>
          <w:szCs w:val="21"/>
          <w:lang w:val="en-US" w:eastAsia="zh-Hans"/>
        </w:rPr>
        <w:t xml:space="preserve">13. </w:t>
      </w:r>
      <w:r>
        <w:rPr>
          <w:rFonts w:hint="eastAsia" w:ascii="宋体" w:hAnsi="宋体" w:eastAsia="宋体" w:cs="宋体"/>
          <w:szCs w:val="21"/>
          <w:lang w:val="en-US" w:eastAsia="zh-Hans"/>
        </w:rPr>
        <w:t>伦理递交</w:t>
      </w:r>
      <w:r>
        <w:tab/>
      </w:r>
      <w:r>
        <w:fldChar w:fldCharType="begin"/>
      </w:r>
      <w:r>
        <w:instrText xml:space="preserve"> PAGEREF _Toc697949845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_Toc887365001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 xml:space="preserve">13.1 </w:t>
      </w:r>
      <w:r>
        <w:rPr>
          <w:rFonts w:hint="eastAsia" w:ascii="宋体" w:hAnsi="宋体" w:eastAsia="宋体" w:cs="宋体"/>
          <w:szCs w:val="21"/>
        </w:rPr>
        <w:t>递交</w:t>
      </w:r>
      <w:r>
        <w:rPr>
          <w:rFonts w:hint="eastAsia" w:ascii="宋体" w:hAnsi="宋体" w:eastAsia="宋体" w:cs="宋体"/>
          <w:szCs w:val="21"/>
          <w:lang w:val="en-US" w:eastAsia="zh-Hans"/>
        </w:rPr>
        <w:t>新伦理</w:t>
      </w:r>
      <w:r>
        <w:tab/>
      </w:r>
      <w:r>
        <w:fldChar w:fldCharType="begin"/>
      </w:r>
      <w:r>
        <w:instrText xml:space="preserve"> PAGEREF _Toc887365001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_Toc1817127039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 xml:space="preserve">13.2 </w:t>
      </w:r>
      <w:r>
        <w:rPr>
          <w:rFonts w:hint="eastAsia" w:ascii="宋体" w:hAnsi="宋体" w:eastAsia="宋体" w:cs="宋体"/>
          <w:szCs w:val="21"/>
          <w:lang w:val="en-US" w:eastAsia="zh-Hans"/>
        </w:rPr>
        <w:t>处理被驳回的项目材料</w:t>
      </w:r>
      <w:r>
        <w:tab/>
      </w:r>
      <w:r>
        <w:fldChar w:fldCharType="begin"/>
      </w:r>
      <w:r>
        <w:instrText xml:space="preserve"> PAGEREF _Toc1817127039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_Toc1089200486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 xml:space="preserve">13.3 </w:t>
      </w:r>
      <w:r>
        <w:rPr>
          <w:rFonts w:hint="eastAsia" w:ascii="宋体" w:hAnsi="宋体" w:eastAsia="宋体" w:cs="宋体"/>
          <w:szCs w:val="21"/>
          <w:lang w:val="en-US" w:eastAsia="zh-Hans"/>
        </w:rPr>
        <w:t>发起复审</w:t>
      </w:r>
      <w:r>
        <w:tab/>
      </w:r>
      <w:r>
        <w:fldChar w:fldCharType="begin"/>
      </w:r>
      <w:r>
        <w:instrText xml:space="preserve"> PAGEREF _Toc1089200486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_Toc1041961174 </w:instrText>
      </w:r>
      <w:r>
        <w:fldChar w:fldCharType="separate"/>
      </w:r>
      <w:r>
        <w:rPr>
          <w:rFonts w:ascii="宋体" w:hAnsi="宋体" w:eastAsia="宋体" w:cs="宋体"/>
          <w:szCs w:val="21"/>
        </w:rPr>
        <w:t xml:space="preserve">14. </w:t>
      </w:r>
      <w:r>
        <w:rPr>
          <w:rFonts w:hint="eastAsia" w:ascii="宋体" w:hAnsi="宋体" w:eastAsia="宋体" w:cs="宋体"/>
          <w:szCs w:val="21"/>
          <w:lang w:val="en-US" w:eastAsia="zh-Hans"/>
        </w:rPr>
        <w:t>人遗审查</w:t>
      </w:r>
      <w:r>
        <w:tab/>
      </w:r>
      <w:r>
        <w:fldChar w:fldCharType="begin"/>
      </w:r>
      <w:r>
        <w:instrText xml:space="preserve"> PAGEREF _Toc1041961174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_Toc1659793780 </w:instrText>
      </w:r>
      <w:r>
        <w:fldChar w:fldCharType="separate"/>
      </w:r>
      <w:r>
        <w:rPr>
          <w:rFonts w:hint="default" w:ascii="宋体" w:hAnsi="宋体" w:eastAsia="宋体" w:cs="宋体"/>
          <w:szCs w:val="21"/>
          <w:lang w:eastAsia="zh-Hans"/>
        </w:rPr>
        <w:t>14.1</w:t>
      </w:r>
      <w:r>
        <w:rPr>
          <w:rFonts w:hint="eastAsia" w:ascii="宋体" w:hAnsi="宋体" w:eastAsia="宋体" w:cs="宋体"/>
          <w:szCs w:val="21"/>
          <w:lang w:val="en-US" w:eastAsia="zh-Hans"/>
        </w:rPr>
        <w:t>申请承诺书</w:t>
      </w:r>
      <w:r>
        <w:tab/>
      </w:r>
      <w:r>
        <w:fldChar w:fldCharType="begin"/>
      </w:r>
      <w:r>
        <w:instrText xml:space="preserve"> PAGEREF _Toc1659793780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_Toc341485930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14.2</w:t>
      </w:r>
      <w:r>
        <w:rPr>
          <w:rFonts w:hint="eastAsia" w:ascii="宋体" w:hAnsi="宋体" w:eastAsia="宋体" w:cs="宋体"/>
          <w:szCs w:val="21"/>
          <w:lang w:val="en-US" w:eastAsia="zh-Hans"/>
        </w:rPr>
        <w:t>人遗审查结果备案</w:t>
      </w:r>
      <w:r>
        <w:tab/>
      </w:r>
      <w:r>
        <w:fldChar w:fldCharType="begin"/>
      </w:r>
      <w:r>
        <w:instrText xml:space="preserve"> PAGEREF _Toc341485930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_Toc1277720726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.经费管理</w:t>
      </w:r>
      <w:r>
        <w:tab/>
      </w:r>
      <w:r>
        <w:fldChar w:fldCharType="begin"/>
      </w:r>
      <w:r>
        <w:instrText xml:space="preserve"> PAGEREF _Toc1277720726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_Toc1963255529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.1</w:t>
      </w:r>
      <w:r>
        <w:rPr>
          <w:rFonts w:hint="eastAsia" w:ascii="宋体" w:hAnsi="宋体" w:eastAsia="宋体" w:cs="宋体"/>
          <w:szCs w:val="21"/>
          <w:lang w:val="en-US" w:eastAsia="zh-Hans"/>
        </w:rPr>
        <w:t>上传</w:t>
      </w:r>
      <w:r>
        <w:rPr>
          <w:rFonts w:hint="eastAsia" w:ascii="宋体" w:hAnsi="宋体" w:eastAsia="宋体" w:cs="宋体"/>
          <w:szCs w:val="21"/>
        </w:rPr>
        <w:t>合同</w:t>
      </w:r>
      <w:r>
        <w:rPr>
          <w:rFonts w:hint="eastAsia" w:ascii="宋体" w:hAnsi="宋体" w:eastAsia="宋体" w:cs="宋体"/>
          <w:szCs w:val="21"/>
          <w:lang w:val="en-US" w:eastAsia="zh-Hans"/>
        </w:rPr>
        <w:t>草案</w:t>
      </w:r>
      <w:r>
        <w:tab/>
      </w:r>
      <w:r>
        <w:fldChar w:fldCharType="begin"/>
      </w:r>
      <w:r>
        <w:instrText xml:space="preserve"> PAGEREF _Toc1963255529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_Toc349439748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</w:t>
      </w:r>
      <w:r>
        <w:rPr>
          <w:rFonts w:hint="default" w:ascii="宋体" w:hAnsi="宋体" w:eastAsia="宋体" w:cs="宋体"/>
          <w:szCs w:val="21"/>
        </w:rPr>
        <w:t>2</w:t>
      </w:r>
      <w:r>
        <w:rPr>
          <w:rFonts w:hint="eastAsia" w:ascii="宋体" w:hAnsi="宋体" w:eastAsia="宋体" w:cs="宋体"/>
          <w:szCs w:val="21"/>
          <w:lang w:val="en-US" w:eastAsia="zh-Hans"/>
        </w:rPr>
        <w:t>设置合同中的预算表</w:t>
      </w:r>
      <w:r>
        <w:tab/>
      </w:r>
      <w:r>
        <w:fldChar w:fldCharType="begin"/>
      </w:r>
      <w:r>
        <w:instrText xml:space="preserve"> PAGEREF _Toc349439748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bookmarkStart w:id="79" w:name="_GoBack"/>
      <w:bookmarkEnd w:id="79"/>
      <w:r>
        <w:fldChar w:fldCharType="begin"/>
      </w:r>
      <w:r>
        <w:instrText xml:space="preserve"> HYPERLINK \l _Toc1813553738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</w:t>
      </w:r>
      <w:r>
        <w:rPr>
          <w:rFonts w:hint="default" w:ascii="宋体" w:hAnsi="宋体" w:eastAsia="宋体" w:cs="宋体"/>
          <w:szCs w:val="21"/>
        </w:rPr>
        <w:t>3</w:t>
      </w:r>
      <w:r>
        <w:rPr>
          <w:rFonts w:hint="eastAsia" w:ascii="宋体" w:hAnsi="宋体" w:eastAsia="宋体" w:cs="宋体"/>
          <w:szCs w:val="21"/>
          <w:lang w:val="en-US" w:eastAsia="zh-Hans"/>
        </w:rPr>
        <w:t>设置合同中的付款计划</w:t>
      </w:r>
      <w:r>
        <w:tab/>
      </w:r>
      <w:r>
        <w:fldChar w:fldCharType="begin"/>
      </w:r>
      <w:r>
        <w:instrText xml:space="preserve"> PAGEREF _Toc1813553738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_Toc1162272695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</w:t>
      </w:r>
      <w:r>
        <w:rPr>
          <w:rFonts w:hint="default" w:ascii="宋体" w:hAnsi="宋体" w:eastAsia="宋体" w:cs="宋体"/>
          <w:szCs w:val="21"/>
        </w:rPr>
        <w:t>4</w:t>
      </w:r>
      <w:r>
        <w:rPr>
          <w:rFonts w:hint="eastAsia" w:ascii="宋体" w:hAnsi="宋体" w:eastAsia="宋体" w:cs="宋体"/>
          <w:szCs w:val="21"/>
          <w:lang w:val="en-US" w:eastAsia="zh-Hans"/>
        </w:rPr>
        <w:t>修改被驳回的合同</w:t>
      </w:r>
      <w:r>
        <w:tab/>
      </w:r>
      <w:r>
        <w:fldChar w:fldCharType="begin"/>
      </w:r>
      <w:r>
        <w:instrText xml:space="preserve"> PAGEREF _Toc1162272695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_Toc805931753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</w:t>
      </w:r>
      <w:r>
        <w:rPr>
          <w:rFonts w:hint="default" w:ascii="宋体" w:hAnsi="宋体" w:eastAsia="宋体" w:cs="宋体"/>
          <w:szCs w:val="21"/>
        </w:rPr>
        <w:t>4</w:t>
      </w:r>
      <w:r>
        <w:rPr>
          <w:rFonts w:hint="eastAsia" w:ascii="宋体" w:hAnsi="宋体" w:eastAsia="宋体" w:cs="宋体"/>
          <w:szCs w:val="21"/>
          <w:lang w:val="en-US" w:eastAsia="zh-Hans"/>
        </w:rPr>
        <w:t>草案审核通过后，上传正本</w:t>
      </w:r>
      <w:r>
        <w:tab/>
      </w:r>
      <w:r>
        <w:fldChar w:fldCharType="begin"/>
      </w:r>
      <w:r>
        <w:instrText xml:space="preserve"> PAGEREF _Toc805931753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_Toc1115611042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</w:rPr>
        <w:t>.</w:t>
      </w:r>
      <w:r>
        <w:rPr>
          <w:rFonts w:hint="default" w:ascii="宋体" w:hAnsi="宋体" w:eastAsia="宋体" w:cs="宋体"/>
          <w:szCs w:val="21"/>
        </w:rPr>
        <w:t>5</w:t>
      </w:r>
      <w:r>
        <w:rPr>
          <w:rFonts w:hint="eastAsia" w:ascii="宋体" w:hAnsi="宋体" w:eastAsia="宋体" w:cs="宋体"/>
          <w:szCs w:val="21"/>
          <w:lang w:val="en-US" w:eastAsia="zh-Hans"/>
        </w:rPr>
        <w:t>上传合同正本</w:t>
      </w:r>
      <w:r>
        <w:tab/>
      </w:r>
      <w:r>
        <w:fldChar w:fldCharType="begin"/>
      </w:r>
      <w:r>
        <w:instrText xml:space="preserve"> PAGEREF _Toc1115611042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_Toc395060937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16.</w:t>
      </w:r>
      <w:r>
        <w:rPr>
          <w:rFonts w:hint="eastAsia" w:ascii="宋体" w:hAnsi="宋体" w:eastAsia="宋体" w:cs="宋体"/>
          <w:szCs w:val="21"/>
        </w:rPr>
        <w:t>付款查询</w:t>
      </w:r>
      <w:r>
        <w:tab/>
      </w:r>
      <w:r>
        <w:fldChar w:fldCharType="begin"/>
      </w:r>
      <w:r>
        <w:instrText xml:space="preserve"> PAGEREF _Toc395060937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_Toc1917215282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17.</w:t>
      </w:r>
      <w:r>
        <w:rPr>
          <w:rFonts w:hint="eastAsia" w:ascii="宋体" w:hAnsi="宋体" w:eastAsia="宋体" w:cs="宋体"/>
          <w:szCs w:val="21"/>
        </w:rPr>
        <w:t>开票申请</w:t>
      </w:r>
      <w:r>
        <w:tab/>
      </w:r>
      <w:r>
        <w:fldChar w:fldCharType="begin"/>
      </w:r>
      <w:r>
        <w:instrText xml:space="preserve"> PAGEREF _Toc1917215282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_Toc1792604986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18</w:t>
      </w:r>
      <w:r>
        <w:rPr>
          <w:rFonts w:hint="eastAsia" w:ascii="宋体" w:hAnsi="宋体" w:eastAsia="宋体" w:cs="宋体"/>
          <w:szCs w:val="21"/>
          <w:lang w:eastAsia="zh-Hans"/>
        </w:rPr>
        <w:t>.</w:t>
      </w:r>
      <w:r>
        <w:rPr>
          <w:rFonts w:hint="eastAsia" w:ascii="宋体" w:hAnsi="宋体" w:eastAsia="宋体" w:cs="宋体"/>
          <w:szCs w:val="21"/>
          <w:lang w:val="en-US" w:eastAsia="zh-CN"/>
        </w:rPr>
        <w:t>经费申请</w:t>
      </w:r>
      <w:r>
        <w:tab/>
      </w:r>
      <w:r>
        <w:fldChar w:fldCharType="begin"/>
      </w:r>
      <w:r>
        <w:instrText xml:space="preserve"> PAGEREF _Toc1792604986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_Toc1263915939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18</w:t>
      </w:r>
      <w:r>
        <w:rPr>
          <w:rFonts w:hint="eastAsia" w:ascii="宋体" w:hAnsi="宋体" w:eastAsia="宋体" w:cs="宋体"/>
          <w:szCs w:val="21"/>
          <w:lang w:eastAsia="zh-Hans"/>
        </w:rPr>
        <w:t>.</w:t>
      </w:r>
      <w:r>
        <w:rPr>
          <w:rFonts w:hint="default" w:ascii="宋体" w:hAnsi="宋体" w:eastAsia="宋体" w:cs="宋体"/>
          <w:szCs w:val="21"/>
          <w:lang w:eastAsia="zh-Hans"/>
        </w:rPr>
        <w:t>1</w:t>
      </w:r>
      <w:r>
        <w:rPr>
          <w:rFonts w:hint="eastAsia" w:ascii="宋体" w:hAnsi="宋体" w:eastAsia="宋体" w:cs="宋体"/>
          <w:szCs w:val="21"/>
          <w:lang w:val="en-US" w:eastAsia="zh-Hans"/>
        </w:rPr>
        <w:t>登记过随访信息，按访视计算劳务费</w:t>
      </w:r>
      <w:r>
        <w:tab/>
      </w:r>
      <w:r>
        <w:fldChar w:fldCharType="begin"/>
      </w:r>
      <w:r>
        <w:instrText xml:space="preserve"> PAGEREF _Toc1263915939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_Toc1874434296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18</w:t>
      </w:r>
      <w:r>
        <w:rPr>
          <w:rFonts w:hint="eastAsia" w:ascii="宋体" w:hAnsi="宋体" w:eastAsia="宋体" w:cs="宋体"/>
          <w:szCs w:val="21"/>
          <w:lang w:eastAsia="zh-Hans"/>
        </w:rPr>
        <w:t>.</w:t>
      </w:r>
      <w:r>
        <w:rPr>
          <w:rFonts w:hint="default" w:ascii="宋体" w:hAnsi="宋体" w:eastAsia="宋体" w:cs="宋体"/>
          <w:szCs w:val="21"/>
          <w:lang w:eastAsia="zh-Hans"/>
        </w:rPr>
        <w:t>2</w:t>
      </w:r>
      <w:r>
        <w:rPr>
          <w:rFonts w:hint="eastAsia" w:ascii="宋体" w:hAnsi="宋体" w:eastAsia="宋体" w:cs="宋体"/>
          <w:szCs w:val="21"/>
          <w:lang w:val="en-US" w:eastAsia="zh-Hans"/>
        </w:rPr>
        <w:t>登记过随访信息，按访视计算受试者补助</w:t>
      </w:r>
      <w:r>
        <w:tab/>
      </w:r>
      <w:r>
        <w:fldChar w:fldCharType="begin"/>
      </w:r>
      <w:r>
        <w:instrText xml:space="preserve"> PAGEREF _Toc1874434296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_Toc32111382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18</w:t>
      </w:r>
      <w:r>
        <w:rPr>
          <w:rFonts w:hint="eastAsia" w:ascii="宋体" w:hAnsi="宋体" w:eastAsia="宋体" w:cs="宋体"/>
          <w:szCs w:val="21"/>
          <w:lang w:eastAsia="zh-Hans"/>
        </w:rPr>
        <w:t>.</w:t>
      </w:r>
      <w:r>
        <w:rPr>
          <w:rFonts w:hint="default" w:ascii="宋体" w:hAnsi="宋体" w:eastAsia="宋体" w:cs="宋体"/>
          <w:szCs w:val="21"/>
          <w:lang w:eastAsia="zh-Hans"/>
        </w:rPr>
        <w:t>3</w:t>
      </w:r>
      <w:r>
        <w:rPr>
          <w:rFonts w:hint="eastAsia" w:ascii="宋体" w:hAnsi="宋体" w:eastAsia="宋体" w:cs="宋体"/>
          <w:szCs w:val="21"/>
          <w:lang w:val="en-US" w:eastAsia="zh-Hans"/>
        </w:rPr>
        <w:t>登记过随访信息，按访视计算检验检查费</w:t>
      </w:r>
      <w:r>
        <w:tab/>
      </w:r>
      <w:r>
        <w:fldChar w:fldCharType="begin"/>
      </w:r>
      <w:r>
        <w:instrText xml:space="preserve"> PAGEREF _Toc32111382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_Toc677601877 </w:instrText>
      </w:r>
      <w:r>
        <w:fldChar w:fldCharType="separate"/>
      </w:r>
      <w:r>
        <w:rPr>
          <w:rFonts w:hint="default" w:ascii="宋体" w:hAnsi="宋体" w:eastAsia="宋体" w:cs="宋体"/>
          <w:szCs w:val="21"/>
        </w:rPr>
        <w:t>18</w:t>
      </w:r>
      <w:r>
        <w:rPr>
          <w:rFonts w:hint="eastAsia" w:ascii="宋体" w:hAnsi="宋体" w:eastAsia="宋体" w:cs="宋体"/>
          <w:szCs w:val="21"/>
          <w:lang w:eastAsia="zh-Hans"/>
        </w:rPr>
        <w:t>.</w:t>
      </w:r>
      <w:r>
        <w:rPr>
          <w:rFonts w:hint="default" w:ascii="宋体" w:hAnsi="宋体" w:eastAsia="宋体" w:cs="宋体"/>
          <w:szCs w:val="21"/>
          <w:lang w:eastAsia="zh-Hans"/>
        </w:rPr>
        <w:t>4</w:t>
      </w:r>
      <w:r>
        <w:rPr>
          <w:rFonts w:hint="eastAsia" w:ascii="宋体" w:hAnsi="宋体" w:eastAsia="宋体" w:cs="宋体"/>
          <w:szCs w:val="21"/>
          <w:lang w:val="en-US" w:eastAsia="zh-Hans"/>
        </w:rPr>
        <w:t>未登记受试者、随访信息，或申请质控等费用</w:t>
      </w:r>
      <w:r>
        <w:tab/>
      </w:r>
      <w:r>
        <w:fldChar w:fldCharType="begin"/>
      </w:r>
      <w:r>
        <w:instrText xml:space="preserve"> PAGEREF _Toc677601877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_Toc348966698 </w:instrText>
      </w:r>
      <w:r>
        <w:fldChar w:fldCharType="separate"/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hint="default" w:ascii="宋体" w:hAnsi="宋体" w:eastAsia="宋体" w:cs="宋体"/>
          <w:szCs w:val="21"/>
        </w:rPr>
        <w:t>9</w:t>
      </w:r>
      <w:r>
        <w:rPr>
          <w:rFonts w:hint="eastAsia" w:ascii="宋体" w:hAnsi="宋体" w:eastAsia="宋体" w:cs="宋体"/>
          <w:szCs w:val="21"/>
        </w:rPr>
        <w:t>.项目结题</w:t>
      </w:r>
      <w:r>
        <w:tab/>
      </w:r>
      <w:r>
        <w:fldChar w:fldCharType="begin"/>
      </w:r>
      <w:r>
        <w:instrText xml:space="preserve"> PAGEREF _Toc348966698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8306"/>
        </w:tabs>
      </w:pPr>
      <w:r>
        <w:fldChar w:fldCharType="begin"/>
      </w:r>
      <w:r>
        <w:instrText xml:space="preserve"> HYPERLINK \l _Toc305453329 </w:instrText>
      </w:r>
      <w:r>
        <w:fldChar w:fldCharType="separate"/>
      </w:r>
      <w:r>
        <w:rPr>
          <w:rFonts w:hint="eastAsia" w:ascii="宋体" w:hAnsi="宋体" w:eastAsia="宋体" w:cs="宋体"/>
          <w:szCs w:val="21"/>
          <w:lang w:val="en-US" w:eastAsia="zh-Hans"/>
        </w:rPr>
        <w:t>20. SAE管家</w:t>
      </w:r>
      <w:r>
        <w:tab/>
      </w:r>
      <w:r>
        <w:fldChar w:fldCharType="begin"/>
      </w:r>
      <w:r>
        <w:instrText xml:space="preserve"> PAGEREF _Toc305453329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r>
        <w:fldChar w:fldCharType="end"/>
      </w:r>
    </w:p>
    <w:p/>
    <w:p/>
    <w:p/>
    <w:p>
      <w:bookmarkEnd w:id="0"/>
    </w:p>
    <w:p/>
    <w:p/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" w:name="_Toc722193715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1.注册账号</w:t>
      </w:r>
      <w:bookmarkEnd w:id="1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rPr>
          <w:rStyle w:val="12"/>
        </w:rPr>
      </w:pPr>
      <w:r>
        <w:rPr>
          <w:rFonts w:hint="eastAsia"/>
        </w:rPr>
        <w:t>系统公共网址：</w:t>
      </w:r>
      <w:r>
        <w:fldChar w:fldCharType="begin"/>
      </w:r>
      <w:r>
        <w:instrText xml:space="preserve"> HYPERLINK "https://www.trialos.com/login/" </w:instrText>
      </w:r>
      <w:r>
        <w:fldChar w:fldCharType="separate"/>
      </w:r>
      <w:r>
        <w:rPr>
          <w:rStyle w:val="12"/>
        </w:rPr>
        <w:t>https://www.trialos.com/login/</w:t>
      </w:r>
      <w:r>
        <w:rPr>
          <w:rStyle w:val="12"/>
        </w:rPr>
        <w:fldChar w:fldCharType="end"/>
      </w:r>
    </w:p>
    <w:p>
      <w:r>
        <w:rPr>
          <w:rFonts w:hint="eastAsia"/>
        </w:rPr>
        <w:t>如果机构有个性化登录网址，以机构提供的网址为准</w:t>
      </w:r>
    </w:p>
    <w:p>
      <w:pPr>
        <w:rPr>
          <w:rFonts w:hint="eastAsia"/>
        </w:rPr>
      </w:pPr>
    </w:p>
    <w:p>
      <w:r>
        <w:rPr>
          <w:rFonts w:hint="eastAsia"/>
        </w:rPr>
        <w:t>浏览器：</w:t>
      </w:r>
      <w:r>
        <w:t>C</w:t>
      </w:r>
      <w:r>
        <w:rPr>
          <w:rFonts w:hint="eastAsia"/>
        </w:rPr>
        <w:t>hrome（谷歌）浏览器、360极速浏览器（或360浏览器调整为极速模式）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</w:rPr>
      </w:pPr>
      <w:r>
        <w:rPr>
          <w:rFonts w:hint="eastAsia"/>
          <w:lang w:val="en-US" w:eastAsia="zh-CN"/>
        </w:rPr>
        <w:t>客服电话：</w:t>
      </w:r>
      <w:r>
        <w:rPr>
          <w:rFonts w:hint="eastAsia"/>
        </w:rPr>
        <w:t>拨打021-80348009 转 8410，或邮件至product@mobilemd.cn询问技术人员；客服电话开放时间，工作日9:30~12:00 13:30~19:00</w:t>
      </w:r>
    </w:p>
    <w:p>
      <w:r>
        <w:rPr>
          <w:rFonts w:hint="eastAsia"/>
        </w:rPr>
        <w:t>如图1-1所示，在登录页面点击【注册】进入注册账号页面；</w:t>
      </w:r>
    </w:p>
    <w:p>
      <w:pPr>
        <w:jc w:val="center"/>
      </w:pPr>
      <w:r>
        <w:drawing>
          <wp:inline distT="0" distB="0" distL="114300" distR="114300">
            <wp:extent cx="3200400" cy="2555240"/>
            <wp:effectExtent l="12700" t="12700" r="12700" b="2286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l="25693" t="15603" r="23993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555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图1-1</w:t>
      </w:r>
    </w:p>
    <w:p>
      <w:r>
        <w:rPr>
          <w:rFonts w:hint="eastAsia"/>
        </w:rPr>
        <w:t>如图1-2所示，输入用户名（可使用用户名密码登录系统）、姓名、邮箱（通过邮箱可重置密码）、手机号，输入验证码后设置密码即可注册成功；</w:t>
      </w:r>
    </w:p>
    <w:p>
      <w:pPr>
        <w:jc w:val="center"/>
      </w:pPr>
      <w:r>
        <w:drawing>
          <wp:inline distT="0" distB="0" distL="114300" distR="114300">
            <wp:extent cx="1719580" cy="2663825"/>
            <wp:effectExtent l="12700" t="12700" r="20320" b="1587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l="37991" r="36786" b="17908"/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2663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图1-2</w:t>
      </w:r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如图1-3所示，谷歌浏览器图标：</w:t>
      </w:r>
    </w:p>
    <w:p>
      <w:pPr>
        <w:pStyle w:val="16"/>
        <w:spacing w:before="156" w:beforeLines="50" w:after="156" w:afterLines="50" w:line="360" w:lineRule="auto"/>
        <w:ind w:firstLine="0" w:firstLineChars="0"/>
        <w:jc w:val="left"/>
        <w:rPr>
          <w:rFonts w:ascii="宋体" w:hAnsi="宋体" w:eastAsia="宋体" w:cs="宋体"/>
        </w:rPr>
      </w:pPr>
      <w:r>
        <w:drawing>
          <wp:inline distT="0" distB="0" distL="0" distR="0">
            <wp:extent cx="1085850" cy="115252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</w:rPr>
        <w:t xml:space="preserve"> 图1-3</w:t>
      </w:r>
    </w:p>
    <w:p>
      <w:pPr>
        <w:pStyle w:val="16"/>
        <w:spacing w:before="156" w:beforeLines="50" w:after="156" w:afterLines="50" w:line="360" w:lineRule="auto"/>
        <w:ind w:firstLine="0" w:firstLineChars="0"/>
        <w:jc w:val="left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如图1-4所示，3</w:t>
      </w:r>
      <w:r>
        <w:rPr>
          <w:rFonts w:ascii="宋体" w:hAnsi="宋体" w:eastAsia="宋体" w:cs="宋体"/>
        </w:rPr>
        <w:t>60</w:t>
      </w:r>
      <w:r>
        <w:rPr>
          <w:rFonts w:hint="eastAsia" w:ascii="宋体" w:hAnsi="宋体" w:eastAsia="宋体" w:cs="宋体"/>
        </w:rPr>
        <w:t>极速浏览器图标：</w:t>
      </w:r>
    </w:p>
    <w:p>
      <w:pPr>
        <w:pStyle w:val="16"/>
        <w:spacing w:before="156" w:beforeLines="50" w:after="156" w:afterLines="50" w:line="360" w:lineRule="auto"/>
        <w:ind w:firstLine="0" w:firstLineChars="0"/>
        <w:jc w:val="left"/>
        <w:rPr>
          <w:rFonts w:ascii="宋体" w:hAnsi="宋体" w:eastAsia="宋体" w:cs="宋体"/>
        </w:rPr>
      </w:pPr>
      <w:r>
        <w:drawing>
          <wp:inline distT="0" distB="0" distL="0" distR="0">
            <wp:extent cx="1266825" cy="1152525"/>
            <wp:effectExtent l="0" t="0" r="952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</w:rPr>
        <w:t xml:space="preserve"> 图1-4</w:t>
      </w:r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如图1-5所示，360浏览器调整极速模式的方式如下：</w:t>
      </w:r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</w:rPr>
      </w:pPr>
      <w:r>
        <w:rPr>
          <w:rFonts w:ascii="宋体" w:hAnsi="宋体" w:eastAsia="宋体" w:cs="宋体"/>
        </w:rPr>
        <w:drawing>
          <wp:inline distT="0" distB="0" distL="0" distR="0">
            <wp:extent cx="3831590" cy="2642235"/>
            <wp:effectExtent l="12700" t="12700" r="16510" b="37465"/>
            <wp:docPr id="6" name="图片 6" descr="C:\Users\admin\AppData\Roaming\DingTalk\142052098_v2\ImageFiles\dc\lALPDhJzsciAL7nNA6HNBz4_1854_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admin\AppData\Roaming\DingTalk\142052098_v2\ImageFiles\dc\lALPDhJzsciAL7nNA6HNBz4_1854_92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1" r="12882"/>
                    <a:stretch>
                      <a:fillRect/>
                    </a:stretch>
                  </pic:blipFill>
                  <pic:spPr>
                    <a:xfrm>
                      <a:off x="0" y="0"/>
                      <a:ext cx="3831590" cy="2642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图1-5</w:t>
      </w:r>
    </w:p>
    <w:p>
      <w:pPr>
        <w:pStyle w:val="16"/>
        <w:spacing w:before="156" w:beforeLines="50" w:after="156" w:afterLines="50" w:line="360" w:lineRule="auto"/>
        <w:ind w:firstLine="0" w:firstLineChars="0"/>
        <w:rPr>
          <w:rFonts w:hint="eastAsia" w:ascii="宋体" w:hAnsi="宋体" w:eastAsia="宋体" w:cs="宋体"/>
        </w:rPr>
      </w:pPr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</w:rPr>
      </w:pPr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</w:rPr>
      </w:pPr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</w:rPr>
      </w:pP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" w:name="_Toc34933555"/>
      <w:bookmarkStart w:id="3" w:name="_Toc2185142"/>
      <w:bookmarkStart w:id="4" w:name="_Toc12758"/>
      <w:bookmarkStart w:id="5" w:name="_Toc332195161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2.系统登录</w:t>
      </w:r>
      <w:bookmarkEnd w:id="2"/>
      <w:bookmarkEnd w:id="3"/>
      <w:bookmarkEnd w:id="4"/>
      <w:bookmarkEnd w:id="5"/>
    </w:p>
    <w:p>
      <w:pPr>
        <w:pStyle w:val="3"/>
        <w:spacing w:before="156" w:beforeLines="50" w:after="156" w:afterLines="50" w:line="360" w:lineRule="auto"/>
        <w:rPr>
          <w:rFonts w:ascii="宋体" w:hAnsi="宋体" w:eastAsia="宋体" w:cs="宋体"/>
        </w:rPr>
      </w:pPr>
      <w:bookmarkStart w:id="6" w:name="_Toc27798"/>
      <w:bookmarkStart w:id="7" w:name="_Toc34933556"/>
      <w:bookmarkStart w:id="8" w:name="_Toc2185143"/>
      <w:bookmarkStart w:id="9" w:name="_Toc1894072374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2.1系统登录</w:t>
      </w:r>
      <w:bookmarkEnd w:id="6"/>
      <w:bookmarkEnd w:id="7"/>
      <w:bookmarkEnd w:id="8"/>
      <w:bookmarkEnd w:id="9"/>
    </w:p>
    <w:p>
      <w:pPr>
        <w:pStyle w:val="16"/>
        <w:spacing w:before="156" w:beforeLines="50" w:after="156" w:afterLines="50" w:line="360" w:lineRule="auto"/>
        <w:ind w:firstLine="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b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/>
          <w:color w:val="44546A" w:themeColor="text2"/>
          <w:szCs w:val="21"/>
          <w14:textFill>
            <w14:solidFill>
              <w14:schemeClr w14:val="tx2"/>
            </w14:solidFill>
          </w14:textFill>
        </w:rPr>
        <w:tab/>
      </w:r>
      <w:r>
        <w:rPr>
          <w:rFonts w:hint="eastAsia" w:ascii="宋体" w:hAnsi="宋体" w:eastAsia="宋体" w:cs="宋体"/>
          <w:szCs w:val="21"/>
        </w:rPr>
        <w:t>如图2-1-1所示，在登录页面，输入用户名和密码，点击【登录】进入系统。</w:t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ascii="宋体" w:hAnsi="宋体" w:eastAsia="宋体" w:cs="宋体"/>
        </w:rPr>
      </w:pPr>
      <w:r>
        <w:drawing>
          <wp:inline distT="0" distB="0" distL="114300" distR="114300">
            <wp:extent cx="4763770" cy="3085465"/>
            <wp:effectExtent l="12700" t="12700" r="24130" b="2603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r="332" b="3400"/>
                    <a:stretch>
                      <a:fillRect/>
                    </a:stretch>
                  </pic:blipFill>
                  <pic:spPr>
                    <a:xfrm>
                      <a:off x="0" y="0"/>
                      <a:ext cx="4763770" cy="30854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图2-1-1</w:t>
      </w:r>
    </w:p>
    <w:p>
      <w:pPr>
        <w:pStyle w:val="3"/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0" w:name="_Toc10299"/>
      <w:bookmarkStart w:id="11" w:name="_Toc34933557"/>
      <w:bookmarkStart w:id="12" w:name="_Toc2185144"/>
      <w:bookmarkStart w:id="13" w:name="_Toc1524290337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2.2忘记密码</w:t>
      </w:r>
      <w:bookmarkEnd w:id="10"/>
      <w:bookmarkEnd w:id="11"/>
      <w:bookmarkEnd w:id="12"/>
      <w:bookmarkEnd w:id="13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 xml:space="preserve"> </w:t>
      </w:r>
      <w:r>
        <w:rPr>
          <w:rFonts w:hint="eastAsia" w:ascii="宋体" w:hAnsi="宋体" w:eastAsia="宋体" w:cs="宋体"/>
          <w:szCs w:val="21"/>
        </w:rPr>
        <w:tab/>
      </w:r>
      <w:r>
        <w:rPr>
          <w:rFonts w:hint="eastAsia" w:ascii="宋体" w:hAnsi="宋体" w:eastAsia="宋体" w:cs="宋体"/>
          <w:szCs w:val="21"/>
        </w:rPr>
        <w:t>如图2-2-1所示，在登录页面点击【忘记密码】会出现重置密码</w:t>
      </w:r>
      <w:r>
        <w:rPr>
          <w:rFonts w:hint="eastAsia" w:ascii="宋体" w:hAnsi="宋体" w:eastAsia="宋体" w:cs="宋体"/>
          <w:szCs w:val="21"/>
          <w:lang w:val="en-US" w:eastAsia="zh-CN"/>
        </w:rPr>
        <w:t>的方式</w:t>
      </w:r>
      <w:r>
        <w:rPr>
          <w:rFonts w:hint="eastAsia" w:ascii="宋体" w:hAnsi="宋体" w:eastAsia="宋体" w:cs="宋体"/>
          <w:szCs w:val="21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选择通过邮箱方式找回，输入邮箱，发送验证邮件；选择手机号重置，输入手机号码，获取验证码。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jc w:val="center"/>
        <w:textAlignment w:val="auto"/>
        <w:rPr>
          <w:rFonts w:hint="eastAsia" w:ascii="宋体" w:hAnsi="宋体" w:eastAsia="宋体" w:cs="宋体"/>
          <w:szCs w:val="21"/>
        </w:rPr>
      </w:pPr>
      <w:r>
        <w:drawing>
          <wp:inline distT="0" distB="0" distL="114300" distR="114300">
            <wp:extent cx="4159885" cy="3335655"/>
            <wp:effectExtent l="12700" t="12700" r="18415" b="29845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rcRect l="26911" t="17885" r="24283"/>
                    <a:stretch>
                      <a:fillRect/>
                    </a:stretch>
                  </pic:blipFill>
                  <pic:spPr>
                    <a:xfrm>
                      <a:off x="0" y="0"/>
                      <a:ext cx="4159885" cy="33356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jc w:val="center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图2-2-1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jc w:val="both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Cs w:val="21"/>
        </w:rPr>
        <w:t>如图2-2-</w:t>
      </w:r>
      <w:r>
        <w:rPr>
          <w:rFonts w:hint="eastAsia" w:ascii="宋体" w:hAnsi="宋体" w:eastAsia="宋体" w:cs="宋体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Cs w:val="21"/>
        </w:rPr>
        <w:t>所示，</w:t>
      </w:r>
      <w:r>
        <w:rPr>
          <w:rFonts w:hint="eastAsia" w:ascii="宋体" w:hAnsi="宋体" w:eastAsia="宋体" w:cs="宋体"/>
          <w:szCs w:val="21"/>
          <w:lang w:val="en-US" w:eastAsia="zh-CN"/>
        </w:rPr>
        <w:t>收到重置密码的邮件后，点击【请点击链接完成重置密码链接地址】进入密码重置页面。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textAlignment w:val="auto"/>
        <w:rPr>
          <w:rFonts w:hint="eastAsia" w:ascii="宋体" w:hAnsi="宋体" w:eastAsia="宋体" w:cs="宋体"/>
          <w:szCs w:val="21"/>
        </w:rPr>
      </w:pPr>
      <w:r>
        <w:drawing>
          <wp:inline distT="0" distB="0" distL="114300" distR="114300">
            <wp:extent cx="5270500" cy="2956560"/>
            <wp:effectExtent l="13970" t="52070" r="100330" b="64770"/>
            <wp:docPr id="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6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jc w:val="center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图2-2-</w:t>
      </w:r>
      <w:r>
        <w:rPr>
          <w:rFonts w:hint="eastAsia" w:ascii="宋体" w:hAnsi="宋体" w:eastAsia="宋体" w:cs="宋体"/>
          <w:szCs w:val="21"/>
          <w:lang w:val="en-US" w:eastAsia="zh-CN"/>
        </w:rPr>
        <w:t>2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both"/>
        <w:textAlignment w:val="auto"/>
        <w:rPr>
          <w:rFonts w:hint="default" w:eastAsia="宋体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如图2-2-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所示，</w:t>
      </w:r>
      <w:r>
        <w:rPr>
          <w:rFonts w:hint="eastAsia" w:ascii="宋体" w:hAnsi="宋体" w:eastAsia="宋体" w:cs="宋体"/>
          <w:szCs w:val="21"/>
          <w:lang w:val="en-US" w:eastAsia="zh-CN"/>
        </w:rPr>
        <w:t>重置密码后，点击【去登录】登录系统。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jc w:val="both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drawing>
          <wp:inline distT="0" distB="0" distL="114300" distR="114300">
            <wp:extent cx="5269230" cy="2557780"/>
            <wp:effectExtent l="13970" t="52070" r="101600" b="57150"/>
            <wp:docPr id="1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7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jc w:val="center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图2-2-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</w:p>
    <w:p>
      <w:pPr>
        <w:spacing w:before="156" w:beforeLines="50" w:after="156" w:afterLines="50" w:line="360" w:lineRule="auto"/>
        <w:jc w:val="center"/>
        <w:rPr>
          <w:rFonts w:ascii="宋体" w:hAnsi="宋体" w:eastAsia="宋体" w:cs="宋体"/>
          <w:szCs w:val="21"/>
        </w:rPr>
      </w:pP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4" w:name="_Toc1415268896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3.试验申请</w:t>
      </w:r>
      <w:bookmarkEnd w:id="14"/>
    </w:p>
    <w:p>
      <w:pPr>
        <w:pStyle w:val="16"/>
        <w:spacing w:before="156" w:beforeLines="50" w:after="156" w:afterLines="50" w:line="360" w:lineRule="auto"/>
        <w:ind w:firstLineChars="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如图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1</w:t>
      </w:r>
      <w:r>
        <w:rPr>
          <w:rFonts w:hint="eastAsia" w:ascii="宋体" w:hAnsi="宋体" w:eastAsia="宋体" w:cs="宋体"/>
          <w:szCs w:val="21"/>
        </w:rPr>
        <w:t>所示，进入系统后，点击【试验申请</w:t>
      </w:r>
      <w:r>
        <w:rPr>
          <w:rFonts w:hint="eastAsia" w:ascii="宋体" w:hAnsi="宋体" w:eastAsia="宋体" w:cs="宋体"/>
          <w:szCs w:val="21"/>
          <w:lang w:val="en-US" w:eastAsia="zh-CN"/>
        </w:rPr>
        <w:t>进度</w:t>
      </w:r>
      <w:r>
        <w:rPr>
          <w:rFonts w:hint="eastAsia" w:ascii="宋体" w:hAnsi="宋体" w:eastAsia="宋体" w:cs="宋体"/>
          <w:szCs w:val="21"/>
        </w:rPr>
        <w:t>】</w:t>
      </w:r>
      <w:r>
        <w:rPr>
          <w:rFonts w:hint="eastAsia" w:ascii="宋体" w:hAnsi="宋体" w:eastAsia="宋体" w:cs="宋体"/>
          <w:szCs w:val="21"/>
          <w:lang w:val="en-US" w:eastAsia="zh-CN"/>
        </w:rPr>
        <w:t>-【发起新的试验申请】，进行试验申请</w:t>
      </w:r>
    </w:p>
    <w:p>
      <w:pPr>
        <w:pStyle w:val="16"/>
        <w:spacing w:before="156" w:beforeLines="50" w:after="156" w:afterLines="50" w:line="360" w:lineRule="auto"/>
        <w:ind w:firstLineChars="0"/>
        <w:rPr>
          <w:rFonts w:hint="default" w:ascii="宋体" w:hAnsi="宋体" w:eastAsia="宋体" w:cs="宋体"/>
          <w:szCs w:val="21"/>
          <w:lang w:val="en-US" w:eastAsia="zh-CN"/>
        </w:rPr>
      </w:pPr>
      <w:r>
        <w:drawing>
          <wp:inline distT="0" distB="0" distL="114300" distR="114300">
            <wp:extent cx="5267325" cy="1765935"/>
            <wp:effectExtent l="12700" t="12700" r="28575" b="2476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65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</w:pPr>
      <w:r>
        <w:drawing>
          <wp:inline distT="0" distB="0" distL="114300" distR="114300">
            <wp:extent cx="5266690" cy="2506980"/>
            <wp:effectExtent l="12700" t="12700" r="29210" b="20320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图</w:t>
      </w:r>
      <w:r>
        <w:rPr>
          <w:rFonts w:hint="eastAsia" w:ascii="宋体" w:hAnsi="宋体" w:eastAsia="宋体" w:cs="宋体"/>
          <w:lang w:val="en-US" w:eastAsia="zh-CN"/>
        </w:rPr>
        <w:t>3</w:t>
      </w:r>
      <w:r>
        <w:rPr>
          <w:rFonts w:hint="eastAsia" w:ascii="宋体" w:hAnsi="宋体" w:eastAsia="宋体" w:cs="宋体"/>
        </w:rPr>
        <w:t>-1</w:t>
      </w:r>
    </w:p>
    <w:p>
      <w:pPr>
        <w:pStyle w:val="16"/>
        <w:spacing w:before="156" w:beforeLines="50" w:after="156" w:afterLines="50" w:line="360" w:lineRule="auto"/>
        <w:ind w:firstLine="0" w:firstLineChars="0"/>
        <w:jc w:val="both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如图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2所示，在关键词处搜索中心名称，并点击【试验申请】</w:t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hint="eastAsia" w:ascii="宋体" w:hAnsi="宋体" w:eastAsia="宋体" w:cs="宋体"/>
          <w:szCs w:val="21"/>
        </w:rPr>
      </w:pPr>
      <w:r>
        <w:drawing>
          <wp:inline distT="0" distB="0" distL="114300" distR="114300">
            <wp:extent cx="5266690" cy="2506980"/>
            <wp:effectExtent l="12700" t="12700" r="29210" b="2032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506980"/>
            <wp:effectExtent l="12700" t="12700" r="29210" b="2032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Cs w:val="21"/>
        </w:rPr>
        <w:t xml:space="preserve"> </w:t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2</w:t>
      </w:r>
    </w:p>
    <w:p>
      <w:pPr>
        <w:pStyle w:val="16"/>
        <w:spacing w:before="156" w:beforeLines="50" w:after="156" w:afterLines="50" w:line="360" w:lineRule="auto"/>
        <w:ind w:firstLine="0" w:firstLineChars="0"/>
        <w:jc w:val="both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如</w:t>
      </w: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3所示，进入试验申请填写界面，阅读安全声明，</w:t>
      </w:r>
      <w:r>
        <w:rPr>
          <w:rFonts w:hint="eastAsia" w:ascii="宋体" w:hAnsi="宋体" w:eastAsia="宋体" w:cs="宋体"/>
          <w:szCs w:val="21"/>
        </w:rPr>
        <w:t>阅读结束后（下拉到最后）点击【同意，并继续操作】</w:t>
      </w:r>
      <w:r>
        <w:rPr>
          <w:rFonts w:hint="eastAsia" w:ascii="宋体" w:hAnsi="宋体" w:eastAsia="宋体" w:cs="宋体"/>
          <w:szCs w:val="21"/>
          <w:lang w:val="en-US" w:eastAsia="zh-CN"/>
        </w:rPr>
        <w:t>进入项目信息页面，选择项目类型，填写申请表。</w:t>
      </w:r>
    </w:p>
    <w:p>
      <w:pPr>
        <w:pStyle w:val="16"/>
        <w:spacing w:before="156" w:beforeLines="50" w:after="156" w:afterLines="50" w:line="360" w:lineRule="auto"/>
        <w:ind w:firstLine="0" w:firstLineChars="0"/>
        <w:jc w:val="both"/>
      </w:pPr>
      <w:r>
        <w:drawing>
          <wp:inline distT="0" distB="0" distL="114300" distR="114300">
            <wp:extent cx="5266690" cy="2506980"/>
            <wp:effectExtent l="12700" t="12700" r="29210" b="20320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</w:p>
    <w:p>
      <w:pPr>
        <w:bidi w:val="0"/>
        <w:jc w:val="both"/>
        <w:rPr>
          <w:rFonts w:hint="eastAsia" w:ascii="宋体" w:hAnsi="宋体" w:eastAsia="宋体" w:cs="宋体"/>
          <w:szCs w:val="21"/>
        </w:rPr>
      </w:pPr>
      <w:r>
        <w:rPr>
          <w:rFonts w:hint="eastAsia"/>
          <w:lang w:val="en-US" w:eastAsia="zh-CN"/>
        </w:rPr>
        <w:t>如</w:t>
      </w: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4</w:t>
      </w:r>
      <w:r>
        <w:rPr>
          <w:rFonts w:hint="eastAsia"/>
          <w:lang w:val="en-US" w:eastAsia="zh-CN"/>
        </w:rPr>
        <w:t>所示，</w:t>
      </w:r>
      <w:r>
        <w:rPr>
          <w:rFonts w:hint="eastAsia" w:ascii="宋体" w:hAnsi="宋体" w:eastAsia="宋体" w:cs="宋体"/>
          <w:szCs w:val="21"/>
        </w:rPr>
        <w:t>在项目信息页面，</w:t>
      </w:r>
      <w:r>
        <w:rPr>
          <w:rFonts w:hint="eastAsia" w:ascii="宋体" w:hAnsi="宋体" w:eastAsia="宋体" w:cs="宋体"/>
          <w:szCs w:val="21"/>
          <w:lang w:val="en-US" w:eastAsia="zh-Hans"/>
        </w:rPr>
        <w:t>根据选的项目类型，填写项目信息；包括申办方的</w:t>
      </w:r>
      <w:r>
        <w:rPr>
          <w:rFonts w:hint="eastAsia" w:ascii="宋体" w:hAnsi="宋体" w:eastAsia="宋体" w:cs="宋体"/>
          <w:szCs w:val="21"/>
        </w:rPr>
        <w:t>试验方案编号</w:t>
      </w:r>
      <w:r>
        <w:rPr>
          <w:rFonts w:hint="eastAsia" w:ascii="宋体" w:hAnsi="宋体" w:eastAsia="宋体" w:cs="宋体"/>
          <w:szCs w:val="21"/>
          <w:lang w:eastAsia="zh-Hans"/>
        </w:rPr>
        <w:t>、</w:t>
      </w:r>
      <w:r>
        <w:rPr>
          <w:rFonts w:hint="eastAsia" w:ascii="宋体" w:hAnsi="宋体" w:eastAsia="宋体" w:cs="宋体"/>
          <w:szCs w:val="21"/>
          <w:lang w:val="en-US" w:eastAsia="zh-Hans"/>
        </w:rPr>
        <w:t>企业名称等信息；</w:t>
      </w:r>
      <w:r>
        <w:rPr>
          <w:rFonts w:hint="eastAsia" w:ascii="宋体" w:hAnsi="宋体" w:eastAsia="宋体" w:cs="宋体"/>
          <w:szCs w:val="21"/>
        </w:rPr>
        <w:t>填写完成后点击【继续填写】进入下一步填写申请表，</w:t>
      </w:r>
      <w:r>
        <w:rPr>
          <w:rFonts w:hint="eastAsia" w:ascii="宋体" w:hAnsi="宋体" w:eastAsia="宋体" w:cs="宋体"/>
          <w:szCs w:val="21"/>
          <w:lang w:val="en-US" w:eastAsia="zh-Hans"/>
        </w:rPr>
        <w:t>点击</w:t>
      </w:r>
      <w:r>
        <w:rPr>
          <w:rFonts w:hint="eastAsia" w:ascii="宋体" w:hAnsi="宋体" w:eastAsia="宋体" w:cs="宋体"/>
          <w:szCs w:val="21"/>
        </w:rPr>
        <w:t>【保存到我的项目】</w:t>
      </w:r>
      <w:r>
        <w:rPr>
          <w:rFonts w:hint="eastAsia" w:ascii="宋体" w:hAnsi="宋体" w:eastAsia="宋体" w:cs="宋体"/>
          <w:szCs w:val="21"/>
          <w:lang w:val="en-US" w:eastAsia="zh-Hans"/>
        </w:rPr>
        <w:t>可先暂存项目，暂存的项目</w:t>
      </w:r>
      <w:r>
        <w:rPr>
          <w:rFonts w:hint="eastAsia" w:ascii="宋体" w:hAnsi="宋体" w:eastAsia="宋体" w:cs="宋体"/>
          <w:szCs w:val="21"/>
        </w:rPr>
        <w:t>可在申请进度页面查看；</w:t>
      </w:r>
    </w:p>
    <w:p>
      <w:pPr>
        <w:numPr>
          <w:ilvl w:val="0"/>
          <w:numId w:val="1"/>
        </w:numPr>
        <w:bidi w:val="0"/>
        <w:ind w:left="420" w:leftChars="0" w:hanging="420" w:firstLineChars="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填写试验方案编号后，才可选择申办</w:t>
      </w:r>
      <w:r>
        <w:rPr>
          <w:rFonts w:hint="eastAsia"/>
          <w:lang w:val="en-US" w:eastAsia="zh-Hans"/>
        </w:rPr>
        <w:t>者</w:t>
      </w:r>
      <w:r>
        <w:rPr>
          <w:rFonts w:hint="eastAsia"/>
          <w:lang w:val="en-US" w:eastAsia="zh-CN"/>
        </w:rPr>
        <w:t>和</w:t>
      </w:r>
      <w:r>
        <w:rPr>
          <w:rFonts w:hint="eastAsia"/>
          <w:lang w:val="en-US" w:eastAsia="zh-Hans"/>
        </w:rPr>
        <w:t>CRO</w:t>
      </w:r>
      <w:r>
        <w:rPr>
          <w:rFonts w:hint="eastAsia"/>
          <w:lang w:val="en-US" w:eastAsia="zh-CN"/>
        </w:rPr>
        <w:t>等信息</w:t>
      </w:r>
    </w:p>
    <w:p>
      <w:pPr>
        <w:numPr>
          <w:ilvl w:val="0"/>
          <w:numId w:val="1"/>
        </w:numPr>
        <w:bidi w:val="0"/>
        <w:ind w:left="420" w:leftChars="0" w:hanging="420" w:firstLineChars="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当申办</w:t>
      </w:r>
      <w:r>
        <w:rPr>
          <w:rFonts w:hint="eastAsia"/>
          <w:lang w:val="en-US" w:eastAsia="zh-Hans"/>
        </w:rPr>
        <w:t>者或CRO</w:t>
      </w:r>
      <w:r>
        <w:rPr>
          <w:rFonts w:hint="eastAsia"/>
          <w:lang w:val="en-US" w:eastAsia="zh-CN"/>
        </w:rPr>
        <w:t>检索不到时，系统会出现</w:t>
      </w:r>
      <w:r>
        <w:rPr>
          <w:rFonts w:hint="eastAsia"/>
          <w:lang w:val="en-US" w:eastAsia="zh-Hans"/>
        </w:rPr>
        <w:t>提示，点击“此处”可新增一个企业</w:t>
      </w:r>
      <w:r>
        <w:rPr>
          <w:rFonts w:hint="eastAsia"/>
          <w:lang w:val="en-US" w:eastAsia="zh-CN"/>
        </w:rPr>
        <w:t>信息</w:t>
      </w:r>
    </w:p>
    <w:p>
      <w:pPr>
        <w:numPr>
          <w:ilvl w:val="0"/>
          <w:numId w:val="1"/>
        </w:numPr>
        <w:bidi w:val="0"/>
        <w:ind w:left="420" w:leftChars="0" w:hanging="420" w:firstLineChars="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Hans"/>
        </w:rPr>
        <w:t>如果输入方案编号、申办方后，自动先出项目名称，则意味着该项目已在本平台其他中心登记过</w:t>
      </w:r>
    </w:p>
    <w:p>
      <w:pPr>
        <w:numPr>
          <w:ilvl w:val="0"/>
          <w:numId w:val="1"/>
        </w:numPr>
        <w:bidi w:val="0"/>
        <w:ind w:left="420" w:leftChars="0" w:hanging="420" w:firstLineChars="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Hans"/>
        </w:rPr>
        <w:t>系统自动带出的项目名称如果有误，可自行修改名称</w:t>
      </w:r>
    </w:p>
    <w:p>
      <w:pPr>
        <w:numPr>
          <w:ilvl w:val="0"/>
          <w:numId w:val="1"/>
        </w:numPr>
        <w:bidi w:val="0"/>
        <w:ind w:left="420" w:leftChars="0" w:hanging="420" w:firstLineChars="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Hans"/>
        </w:rPr>
        <w:t>如有其他填写疑问，可拨打页面上给出的客服电话，或邮件给客服邮箱</w:t>
      </w:r>
    </w:p>
    <w:p>
      <w:pPr>
        <w:pStyle w:val="16"/>
        <w:spacing w:before="156" w:beforeLines="50" w:after="156" w:afterLines="50" w:line="360" w:lineRule="auto"/>
        <w:ind w:firstLine="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06980"/>
            <wp:effectExtent l="12700" t="12700" r="29210" b="20320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eastAsia="宋体" w:cs="宋体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Cs w:val="21"/>
        </w:rPr>
        <w:t>-</w:t>
      </w:r>
      <w:r>
        <w:rPr>
          <w:rFonts w:hint="eastAsia" w:ascii="宋体" w:hAnsi="宋体" w:eastAsia="宋体" w:cs="宋体"/>
          <w:szCs w:val="21"/>
          <w:lang w:val="en-US" w:eastAsia="zh-CN"/>
        </w:rPr>
        <w:t>4</w:t>
      </w:r>
    </w:p>
    <w:p>
      <w:pPr>
        <w:spacing w:before="156" w:beforeLines="50" w:after="156" w:afterLines="50" w:line="360" w:lineRule="auto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如图3-</w:t>
      </w:r>
      <w:r>
        <w:rPr>
          <w:rFonts w:hint="eastAsia" w:ascii="宋体" w:hAnsi="宋体" w:eastAsia="宋体" w:cs="宋体"/>
          <w:szCs w:val="21"/>
          <w:lang w:val="en-US" w:eastAsia="zh-CN"/>
        </w:rPr>
        <w:t>5</w:t>
      </w:r>
      <w:r>
        <w:rPr>
          <w:rFonts w:hint="eastAsia" w:ascii="宋体" w:hAnsi="宋体" w:eastAsia="宋体" w:cs="宋体"/>
          <w:szCs w:val="21"/>
        </w:rPr>
        <w:t>所示，填写机构的项目申请表，填写完成后（下拉到最后），点击【下一步】上传文件；</w:t>
      </w:r>
    </w:p>
    <w:p>
      <w:pPr>
        <w:spacing w:before="156" w:beforeLines="50" w:after="156" w:afterLines="50" w:line="360" w:lineRule="auto"/>
        <w:rPr>
          <w:rFonts w:ascii="宋体" w:hAnsi="宋体" w:eastAsia="宋体" w:cs="宋体"/>
          <w:szCs w:val="21"/>
        </w:rPr>
      </w:pPr>
      <w:r>
        <w:drawing>
          <wp:inline distT="0" distB="0" distL="0" distR="0">
            <wp:extent cx="5274310" cy="3046730"/>
            <wp:effectExtent l="12700" t="12700" r="21590" b="1397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67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pacing w:before="156" w:beforeLines="50" w:after="156" w:afterLines="50" w:line="360" w:lineRule="auto"/>
        <w:jc w:val="center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图3-</w:t>
      </w:r>
      <w:r>
        <w:rPr>
          <w:rFonts w:hint="eastAsia" w:ascii="宋体" w:hAnsi="宋体" w:eastAsia="宋体" w:cs="宋体"/>
          <w:szCs w:val="21"/>
          <w:lang w:val="en-US" w:eastAsia="zh-CN"/>
        </w:rPr>
        <w:t>5</w:t>
      </w:r>
    </w:p>
    <w:p>
      <w:pPr>
        <w:spacing w:before="156" w:beforeLines="50" w:after="156" w:afterLines="50" w:line="240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如图3-</w:t>
      </w:r>
      <w:r>
        <w:rPr>
          <w:rFonts w:hint="eastAsia" w:ascii="宋体" w:hAnsi="宋体" w:eastAsia="宋体" w:cs="宋体"/>
          <w:szCs w:val="21"/>
          <w:lang w:val="en-US" w:eastAsia="zh-CN"/>
        </w:rPr>
        <w:t>6</w:t>
      </w:r>
      <w:r>
        <w:rPr>
          <w:rFonts w:hint="eastAsia" w:ascii="宋体" w:hAnsi="宋体" w:eastAsia="宋体" w:cs="宋体"/>
          <w:szCs w:val="21"/>
        </w:rPr>
        <w:t>所示，上传立项需提供的文件</w:t>
      </w:r>
    </w:p>
    <w:p>
      <w:pPr>
        <w:numPr>
          <w:ilvl w:val="0"/>
          <w:numId w:val="1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根据文件要求上传文件，如果机构提供文件模板，请下载文件模板，在模板中填写内容后上传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spacing w:before="156" w:beforeLines="50" w:after="156" w:afterLines="50" w:line="360" w:lineRule="auto"/>
        <w:jc w:val="center"/>
        <w:rPr>
          <w:rFonts w:ascii="宋体" w:hAnsi="宋体" w:eastAsia="宋体" w:cs="宋体"/>
          <w:szCs w:val="21"/>
        </w:rPr>
      </w:pPr>
      <w:r>
        <w:drawing>
          <wp:inline distT="0" distB="0" distL="0" distR="0">
            <wp:extent cx="5274310" cy="3055620"/>
            <wp:effectExtent l="12700" t="12700" r="21590" b="304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56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Cs w:val="21"/>
        </w:rPr>
        <w:t>图3-</w:t>
      </w:r>
      <w:r>
        <w:rPr>
          <w:rFonts w:hint="eastAsia" w:ascii="宋体" w:hAnsi="宋体" w:eastAsia="宋体" w:cs="宋体"/>
          <w:szCs w:val="21"/>
          <w:lang w:val="en-US" w:eastAsia="zh-CN"/>
        </w:rPr>
        <w:t>6</w:t>
      </w:r>
    </w:p>
    <w:p>
      <w:pPr>
        <w:pStyle w:val="16"/>
        <w:numPr>
          <w:ilvl w:val="0"/>
          <w:numId w:val="1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如果文件类型下无对应文件上传可由【有文件】切换为【无文件】并填写未上传原因，</w:t>
      </w:r>
      <w:r>
        <w:rPr>
          <w:rFonts w:hint="eastAsia" w:ascii="宋体" w:hAnsi="宋体" w:eastAsia="宋体" w:cs="宋体"/>
          <w:szCs w:val="21"/>
          <w:lang w:val="en-US" w:eastAsia="zh-CN"/>
        </w:rPr>
        <w:t>如图3-7所示</w:t>
      </w:r>
      <w:r>
        <w:rPr>
          <w:rFonts w:hint="eastAsia" w:ascii="宋体" w:hAnsi="宋体" w:eastAsia="宋体" w:cs="宋体"/>
          <w:szCs w:val="21"/>
          <w:lang w:val="en-US" w:eastAsia="zh-Hans"/>
        </w:rPr>
        <w:t>；</w:t>
      </w:r>
    </w:p>
    <w:p>
      <w:pPr>
        <w:pStyle w:val="16"/>
        <w:numPr>
          <w:ilvl w:val="0"/>
          <w:numId w:val="1"/>
        </w:numPr>
        <w:spacing w:before="156" w:beforeLines="50" w:after="156" w:afterLines="50" w:line="240" w:lineRule="auto"/>
        <w:ind w:left="420" w:leftChars="0" w:firstLine="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提交前请查看页面最后的整体要求，根据要求完成试验申请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16"/>
        <w:numPr>
          <w:ilvl w:val="0"/>
          <w:numId w:val="1"/>
        </w:numPr>
        <w:spacing w:before="156" w:beforeLines="50" w:after="156" w:afterLines="50" w:line="240" w:lineRule="auto"/>
        <w:ind w:left="420" w:leftChars="0" w:firstLine="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确认完成上传后，点击页面右下方的【立即提交】验证账号密码（</w:t>
      </w:r>
      <w:r>
        <w:rPr>
          <w:rFonts w:hint="eastAsia" w:ascii="宋体" w:hAnsi="宋体" w:eastAsia="宋体" w:cs="宋体"/>
          <w:b/>
          <w:bCs/>
          <w:szCs w:val="21"/>
        </w:rPr>
        <w:t>系统登录密码</w:t>
      </w:r>
      <w:r>
        <w:rPr>
          <w:rFonts w:hint="eastAsia" w:ascii="宋体" w:hAnsi="宋体" w:eastAsia="宋体" w:cs="宋体"/>
          <w:szCs w:val="21"/>
        </w:rPr>
        <w:t>）将项目提交至机构等待审核</w:t>
      </w:r>
      <w:r>
        <w:rPr>
          <w:rFonts w:hint="eastAsia" w:ascii="宋体" w:hAnsi="宋体" w:eastAsia="宋体" w:cs="宋体"/>
          <w:szCs w:val="21"/>
          <w:lang w:eastAsia="zh-Hans"/>
        </w:rPr>
        <w:t>。</w:t>
      </w:r>
    </w:p>
    <w:p>
      <w:pPr>
        <w:pStyle w:val="16"/>
        <w:spacing w:before="156" w:beforeLines="50" w:after="156" w:afterLines="50" w:line="360" w:lineRule="auto"/>
        <w:ind w:firstLine="0" w:firstLineChars="0"/>
        <w:jc w:val="center"/>
        <w:rPr>
          <w:rFonts w:ascii="宋体" w:hAnsi="宋体" w:eastAsia="宋体" w:cs="宋体"/>
          <w:szCs w:val="21"/>
        </w:rPr>
      </w:pPr>
      <w:r>
        <w:drawing>
          <wp:inline distT="0" distB="0" distL="114300" distR="114300">
            <wp:extent cx="5266690" cy="2506980"/>
            <wp:effectExtent l="12700" t="12700" r="29210" b="2032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</w:t>
      </w:r>
      <w:r>
        <w:rPr>
          <w:rFonts w:hint="eastAsia" w:ascii="宋体" w:hAnsi="宋体" w:eastAsia="宋体" w:cs="宋体"/>
          <w:szCs w:val="21"/>
        </w:rPr>
        <w:t>3-</w:t>
      </w:r>
      <w:r>
        <w:rPr>
          <w:rFonts w:hint="eastAsia" w:ascii="宋体" w:hAnsi="宋体" w:eastAsia="宋体" w:cs="宋体"/>
          <w:szCs w:val="21"/>
          <w:lang w:val="en-US" w:eastAsia="zh-CN"/>
        </w:rPr>
        <w:t>7</w:t>
      </w:r>
    </w:p>
    <w:p>
      <w:pPr>
        <w:pStyle w:val="2"/>
        <w:numPr>
          <w:ilvl w:val="0"/>
          <w:numId w:val="2"/>
        </w:numPr>
        <w:spacing w:before="156" w:beforeLines="50" w:after="156" w:afterLines="50" w:line="360" w:lineRule="auto"/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5" w:name="_Toc895460900"/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查看、修改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项目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基本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信息</w:t>
      </w:r>
      <w:bookmarkEnd w:id="15"/>
    </w:p>
    <w:p>
      <w:pPr>
        <w:numPr>
          <w:ilvl w:val="0"/>
          <w:numId w:val="0"/>
        </w:numP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如图4-1所示，登录系统，点击试验申请进度，可查看已经申请的试验申请项目，进入进度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506980"/>
            <wp:effectExtent l="12700" t="12700" r="29210" b="2032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图4-1</w:t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如图4-2所示，选择需要操作的项目，点击进入项目首页。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506980"/>
            <wp:effectExtent l="12700" t="12700" r="29210" b="20320"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图4-2</w:t>
      </w:r>
    </w:p>
    <w:p>
      <w:pPr>
        <w:ind w:firstLine="420" w:firstLineChars="200"/>
      </w:pPr>
      <w:r>
        <w:rPr>
          <w:rFonts w:hint="eastAsia"/>
        </w:rPr>
        <w:t>如图4-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所示，点击已提交的项目卡片进入项目详情页，点击【更多信息】可查看项目信息；</w:t>
      </w:r>
    </w:p>
    <w:p>
      <w:r>
        <w:drawing>
          <wp:inline distT="0" distB="0" distL="0" distR="0">
            <wp:extent cx="5274310" cy="1953895"/>
            <wp:effectExtent l="12700" t="12700" r="21590" b="146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38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</w:rPr>
        <w:t>图4-</w:t>
      </w:r>
      <w:r>
        <w:rPr>
          <w:rFonts w:hint="eastAsia"/>
          <w:lang w:val="en-US" w:eastAsia="zh-CN"/>
        </w:rPr>
        <w:t>3</w:t>
      </w:r>
    </w:p>
    <w:p>
      <w:pPr>
        <w:ind w:firstLine="420" w:firstLineChars="200"/>
      </w:pPr>
      <w:r>
        <w:rPr>
          <w:rFonts w:hint="eastAsia"/>
        </w:rPr>
        <w:t>如图4-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所示，展开项目信息后，点击【更多】可查看完整的项目信息，点击【编辑】可修改项目信息，修改后的项目信息与机构同步，点击【收起】可收起项目信息；</w:t>
      </w:r>
    </w:p>
    <w:p>
      <w:r>
        <w:drawing>
          <wp:inline distT="0" distB="0" distL="0" distR="0">
            <wp:extent cx="5274310" cy="1794510"/>
            <wp:effectExtent l="12700" t="12700" r="21590" b="215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45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</w:rPr>
        <w:t>图4-</w:t>
      </w:r>
      <w:r>
        <w:rPr>
          <w:rFonts w:hint="eastAsia"/>
          <w:lang w:val="en-US" w:eastAsia="zh-CN"/>
        </w:rPr>
        <w:t>4</w:t>
      </w:r>
    </w:p>
    <w:p>
      <w:r>
        <w:rPr>
          <w:rFonts w:hint="eastAsia"/>
        </w:rPr>
        <w:t>如图4-</w:t>
      </w:r>
      <w:r>
        <w:rPr>
          <w:rFonts w:hint="eastAsia"/>
          <w:lang w:val="en-US" w:eastAsia="zh-CN"/>
        </w:rPr>
        <w:t>5</w:t>
      </w:r>
      <w:r>
        <w:rPr>
          <w:rFonts w:hint="eastAsia"/>
        </w:rPr>
        <w:t>所示，点击右上角的小铃铛可查看项目相关的提醒、通知，</w:t>
      </w:r>
      <w:r>
        <w:rPr>
          <w:rFonts w:hint="eastAsia"/>
          <w:lang w:val="en-US" w:eastAsia="zh-Hans"/>
        </w:rPr>
        <w:t>如付款提醒、申请被驳回等，</w:t>
      </w:r>
      <w:r>
        <w:rPr>
          <w:rFonts w:hint="eastAsia"/>
        </w:rPr>
        <w:t>点击可查看详情；</w:t>
      </w:r>
    </w:p>
    <w:p>
      <w:r>
        <w:drawing>
          <wp:inline distT="0" distB="0" distL="0" distR="0">
            <wp:extent cx="5274310" cy="1821180"/>
            <wp:effectExtent l="12700" t="12700" r="21590" b="203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11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</w:rPr>
        <w:t>图4-</w:t>
      </w:r>
      <w:r>
        <w:rPr>
          <w:rFonts w:hint="eastAsia"/>
          <w:lang w:val="en-US" w:eastAsia="zh-CN"/>
        </w:rPr>
        <w:t>5</w:t>
      </w: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6" w:name="_Toc445948124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项目人员</w:t>
      </w:r>
      <w:bookmarkEnd w:id="16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pStyle w:val="4"/>
        <w:spacing w:before="156" w:after="156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7" w:name="_Toc34933559"/>
      <w:bookmarkStart w:id="18" w:name="_Toc332192038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5.1</w:t>
      </w:r>
      <w:bookmarkEnd w:id="17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项目组织人员</w:t>
      </w:r>
      <w:bookmarkEnd w:id="18"/>
    </w:p>
    <w:p>
      <w:pPr>
        <w:ind w:firstLine="420" w:firstLineChars="200"/>
      </w:pPr>
      <w:r>
        <w:rPr>
          <w:rFonts w:hint="eastAsia"/>
        </w:rPr>
        <w:t>如图5-1-1-1所示，在项目详情页，【首页】→【项目人员】→【项目组织人员】，显示本项目下的人员列表，如果要修改人员权限，请联系机构老师；</w:t>
      </w:r>
    </w:p>
    <w:p>
      <w:r>
        <w:drawing>
          <wp:inline distT="0" distB="0" distL="0" distR="0">
            <wp:extent cx="4770755" cy="2201545"/>
            <wp:effectExtent l="12700" t="12700" r="17145" b="209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77959" cy="22049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图5-1-1-1</w:t>
      </w:r>
    </w:p>
    <w:p>
      <w:pPr>
        <w:pStyle w:val="4"/>
        <w:spacing w:before="156" w:after="156"/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19" w:name="_Toc1841584113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5.2人员变更申请</w:t>
      </w:r>
      <w:bookmarkEnd w:id="19"/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</w:rPr>
        <w:t>如图5-1-2-1所示，【首页】→【项目人员】→【人员变更申请】，显示申办方发起的人员变更申请，如</w:t>
      </w:r>
      <w:r>
        <w:rPr>
          <w:rFonts w:hint="eastAsia"/>
          <w:lang w:val="en-US" w:eastAsia="zh-Hans"/>
        </w:rPr>
        <w:t>申请新的CRA</w:t>
      </w:r>
      <w:r>
        <w:rPr>
          <w:rFonts w:hint="default"/>
          <w:lang w:eastAsia="zh-Hans"/>
        </w:rPr>
        <w:t>/</w:t>
      </w:r>
      <w:r>
        <w:rPr>
          <w:rFonts w:hint="eastAsia"/>
          <w:lang w:val="en-US" w:eastAsia="zh-Hans"/>
        </w:rPr>
        <w:t>CRC权限</w:t>
      </w:r>
      <w:r>
        <w:t>，</w:t>
      </w:r>
      <w:r>
        <w:rPr>
          <w:rFonts w:hint="eastAsia"/>
        </w:rPr>
        <w:t>可在人员变更申请页，</w:t>
      </w:r>
      <w:r>
        <w:rPr>
          <w:rFonts w:hint="eastAsia"/>
          <w:lang w:val="en-US" w:eastAsia="zh-Hans"/>
        </w:rPr>
        <w:t>由已有项目权限的人员，</w:t>
      </w:r>
      <w:r>
        <w:rPr>
          <w:rFonts w:hint="eastAsia"/>
        </w:rPr>
        <w:t>点击【新增】输入人员信息，选择业务权限</w:t>
      </w:r>
      <w:r>
        <w:rPr>
          <w:rFonts w:hint="eastAsia"/>
          <w:lang w:val="en-US" w:eastAsia="zh-Hans"/>
        </w:rPr>
        <w:t>提交申请；</w:t>
      </w:r>
    </w:p>
    <w:p>
      <w:pPr>
        <w:ind w:firstLine="420" w:firstLineChars="200"/>
      </w:pPr>
      <w:r>
        <w:rPr>
          <w:rFonts w:hint="eastAsia"/>
        </w:rPr>
        <w:t>机构审核通过后，</w:t>
      </w:r>
      <w:r>
        <w:rPr>
          <w:rFonts w:hint="eastAsia"/>
          <w:lang w:val="en-US" w:eastAsia="zh-Hans"/>
        </w:rPr>
        <w:t>新</w:t>
      </w:r>
      <w:r>
        <w:rPr>
          <w:rFonts w:hint="eastAsia"/>
        </w:rPr>
        <w:t>人员使用邮箱注册的账号登录系统，在申请进度页面即可查看</w:t>
      </w:r>
      <w:r>
        <w:rPr>
          <w:rFonts w:hint="eastAsia"/>
          <w:lang w:val="en-US" w:eastAsia="zh-Hans"/>
        </w:rPr>
        <w:t>到新</w:t>
      </w:r>
      <w:r>
        <w:rPr>
          <w:rFonts w:hint="eastAsia"/>
        </w:rPr>
        <w:t>项目。</w:t>
      </w:r>
    </w:p>
    <w:p>
      <w:r>
        <w:drawing>
          <wp:inline distT="0" distB="0" distL="0" distR="0">
            <wp:extent cx="4779645" cy="2766060"/>
            <wp:effectExtent l="12700" t="12700" r="33655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96660" cy="27760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图5-1-2-1</w:t>
      </w: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0" w:name="_Toc1969866627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6.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预约</w:t>
      </w:r>
      <w:bookmarkEnd w:id="20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r>
        <w:rPr>
          <w:rFonts w:hint="eastAsia"/>
        </w:rPr>
        <w:t>如图5-3-1所示，【首页】→【预约】，显示预约日历，</w:t>
      </w:r>
      <w:r>
        <w:rPr>
          <w:rFonts w:hint="eastAsia"/>
          <w:lang w:val="en-US" w:eastAsia="zh-Hans"/>
        </w:rPr>
        <w:t>选择某一天可查看当日的医院资源被预约情况</w:t>
      </w:r>
      <w:r>
        <w:rPr>
          <w:rFonts w:hint="eastAsia"/>
        </w:rPr>
        <w:t>；</w:t>
      </w:r>
    </w:p>
    <w:p>
      <w:r>
        <w:drawing>
          <wp:inline distT="0" distB="0" distL="0" distR="0">
            <wp:extent cx="5274310" cy="2626360"/>
            <wp:effectExtent l="12700" t="12700" r="21590" b="279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图5-3-1</w:t>
      </w:r>
    </w:p>
    <w:p>
      <w:pPr>
        <w:jc w:val="left"/>
        <w:rPr>
          <w:rFonts w:hint="eastAsia"/>
        </w:rPr>
      </w:pPr>
      <w:r>
        <w:rPr>
          <w:rFonts w:hint="eastAsia"/>
        </w:rPr>
        <w:t>点击【发起预约】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填写</w:t>
      </w:r>
      <w:r>
        <w:rPr>
          <w:rFonts w:hint="eastAsia"/>
        </w:rPr>
        <w:t>联系方式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选择预约的时间段，提交预约申请。</w:t>
      </w:r>
    </w:p>
    <w:p>
      <w:pPr>
        <w:jc w:val="center"/>
      </w:pPr>
      <w:r>
        <w:drawing>
          <wp:inline distT="0" distB="0" distL="114300" distR="114300">
            <wp:extent cx="3423920" cy="4059555"/>
            <wp:effectExtent l="12700" t="12700" r="17780" b="1714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40595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已申请的预约，可在“我的预约”中查看机构审核进度，也可取消已预约的事项。</w:t>
      </w:r>
    </w:p>
    <w:p>
      <w:pPr>
        <w:jc w:val="left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71770" cy="1304925"/>
            <wp:effectExtent l="12700" t="12700" r="24130" b="2857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04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1" w:name="_Toc1940497837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7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项目启动</w:t>
      </w:r>
      <w:bookmarkEnd w:id="21"/>
    </w:p>
    <w:p>
      <w:pPr>
        <w:ind w:firstLine="420" w:firstLineChars="200"/>
      </w:pPr>
      <w:r>
        <w:rPr>
          <w:rFonts w:hint="eastAsia"/>
        </w:rPr>
        <w:t>如图6-1所示，显示项目启动阶段，需完成的事件列表，点击【查看】可进入详情页面，如果还未提交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还未完成的，</w:t>
      </w:r>
      <w:r>
        <w:rPr>
          <w:rFonts w:hint="eastAsia"/>
        </w:rPr>
        <w:t>可编辑，如果提交后机构还未审核可撤回，如果被驳回可编辑后重新提交；</w:t>
      </w:r>
    </w:p>
    <w:p>
      <w:r>
        <w:drawing>
          <wp:inline distT="0" distB="0" distL="0" distR="0">
            <wp:extent cx="5274310" cy="2106295"/>
            <wp:effectExtent l="12700" t="12700" r="21590" b="146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62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图6-1</w:t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</w:rPr>
        <w:t>如图6-</w:t>
      </w:r>
      <w:r>
        <w:rPr>
          <w:rFonts w:hint="default"/>
        </w:rPr>
        <w:t>2</w:t>
      </w:r>
      <w:r>
        <w:rPr>
          <w:rFonts w:hint="eastAsia"/>
        </w:rPr>
        <w:t>所示，</w:t>
      </w:r>
      <w:r>
        <w:rPr>
          <w:rFonts w:hint="eastAsia"/>
          <w:lang w:val="en-US" w:eastAsia="zh-Hans"/>
        </w:rPr>
        <w:t>编辑某个里程碑时，需要填写表单、上传文件，需要机构审核的则有提交按键；</w:t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根据文件要求上传文件，如果机构提供</w:t>
      </w:r>
      <w:r>
        <w:rPr>
          <w:rFonts w:hint="eastAsia" w:ascii="宋体" w:hAnsi="宋体" w:eastAsia="宋体" w:cs="宋体"/>
          <w:szCs w:val="21"/>
          <w:lang w:val="en-US" w:eastAsia="zh-Hans"/>
        </w:rPr>
        <w:t>了</w:t>
      </w:r>
      <w:r>
        <w:rPr>
          <w:rFonts w:hint="eastAsia" w:ascii="宋体" w:hAnsi="宋体" w:eastAsia="宋体" w:cs="宋体"/>
          <w:szCs w:val="21"/>
        </w:rPr>
        <w:t>文件模板，请下载文件模板，在模板中填写内容后上传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如果文件类型下无对应</w:t>
      </w:r>
      <w:r>
        <w:rPr>
          <w:rFonts w:hint="eastAsia" w:ascii="宋体" w:hAnsi="宋体" w:eastAsia="宋体" w:cs="宋体"/>
          <w:szCs w:val="21"/>
          <w:lang w:val="en-US" w:eastAsia="zh-Hans"/>
        </w:rPr>
        <w:t>的</w:t>
      </w:r>
      <w:r>
        <w:rPr>
          <w:rFonts w:hint="eastAsia" w:ascii="宋体" w:hAnsi="宋体" w:eastAsia="宋体" w:cs="宋体"/>
          <w:szCs w:val="21"/>
        </w:rPr>
        <w:t>文件</w:t>
      </w:r>
      <w:r>
        <w:rPr>
          <w:rFonts w:hint="eastAsia" w:ascii="宋体" w:hAnsi="宋体" w:eastAsia="宋体" w:cs="宋体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Cs w:val="21"/>
        </w:rPr>
        <w:t>上传</w:t>
      </w:r>
      <w:r>
        <w:rPr>
          <w:rFonts w:hint="eastAsia" w:ascii="宋体" w:hAnsi="宋体" w:eastAsia="宋体" w:cs="宋体"/>
          <w:szCs w:val="21"/>
          <w:lang w:val="en-US" w:eastAsia="zh-Hans"/>
        </w:rPr>
        <w:t>时</w:t>
      </w:r>
      <w:r>
        <w:rPr>
          <w:rFonts w:hint="eastAsia" w:ascii="宋体" w:hAnsi="宋体" w:eastAsia="宋体" w:cs="宋体"/>
          <w:szCs w:val="21"/>
        </w:rPr>
        <w:t>可</w:t>
      </w:r>
      <w:r>
        <w:rPr>
          <w:rFonts w:hint="eastAsia" w:ascii="宋体" w:hAnsi="宋体" w:eastAsia="宋体" w:cs="宋体"/>
          <w:szCs w:val="21"/>
          <w:lang w:val="en-US" w:eastAsia="zh-Hans"/>
        </w:rPr>
        <w:t>点击【新文件】，然后选择【不适用】</w:t>
      </w:r>
      <w:r>
        <w:rPr>
          <w:rFonts w:hint="eastAsia" w:ascii="宋体" w:hAnsi="宋体" w:eastAsia="宋体" w:cs="宋体"/>
          <w:szCs w:val="21"/>
        </w:rPr>
        <w:t>并填写未上传原因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16"/>
        <w:widowControl w:val="0"/>
        <w:numPr>
          <w:ilvl w:val="0"/>
          <w:numId w:val="0"/>
        </w:numPr>
        <w:spacing w:before="156" w:beforeLines="50" w:after="156" w:afterLines="50" w:line="240" w:lineRule="auto"/>
        <w:jc w:val="both"/>
        <w:rPr>
          <w:rFonts w:ascii="宋体" w:hAnsi="宋体" w:eastAsia="宋体" w:cs="宋体"/>
          <w:szCs w:val="21"/>
        </w:rPr>
      </w:pPr>
      <w:r>
        <w:drawing>
          <wp:inline distT="0" distB="0" distL="114300" distR="114300">
            <wp:extent cx="5265420" cy="2869565"/>
            <wp:effectExtent l="0" t="0" r="17780" b="635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69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lang w:val="en-US" w:eastAsia="zh-Hans"/>
        </w:rPr>
        <w:t>如果文件的版本日期不精确到具体的日期，请勾选【版本日期只有年月】</w:t>
      </w:r>
    </w:p>
    <w:p>
      <w:pPr>
        <w:pStyle w:val="16"/>
        <w:numPr>
          <w:ilvl w:val="0"/>
          <w:numId w:val="0"/>
        </w:numPr>
        <w:spacing w:before="156" w:beforeLines="50" w:after="156" w:afterLines="50" w:line="240" w:lineRule="auto"/>
        <w:ind w:leftChars="0"/>
        <w:rPr>
          <w:rFonts w:ascii="宋体" w:hAnsi="宋体" w:eastAsia="宋体" w:cs="宋体"/>
          <w:szCs w:val="21"/>
        </w:rPr>
      </w:pPr>
      <w:r>
        <w:drawing>
          <wp:inline distT="0" distB="0" distL="114300" distR="114300">
            <wp:extent cx="3876040" cy="3924300"/>
            <wp:effectExtent l="12700" t="12700" r="22860" b="2540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76040" cy="3924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提交前请查看页面最后的整体要求，根据要求</w:t>
      </w:r>
      <w:r>
        <w:rPr>
          <w:rFonts w:hint="eastAsia" w:ascii="宋体" w:hAnsi="宋体" w:eastAsia="宋体" w:cs="宋体"/>
          <w:szCs w:val="21"/>
          <w:lang w:val="en-US" w:eastAsia="zh-Hans"/>
        </w:rPr>
        <w:t>自查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22" w:name="_Toc112999470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8.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处理被驳回的项目材料</w:t>
      </w:r>
      <w:bookmarkEnd w:id="22"/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如果立项、伦理、实施过程中的申请被驳回，点击事件后的【编辑】按键，进入修改页面。</w:t>
      </w: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5263515" cy="740410"/>
            <wp:effectExtent l="12700" t="12700" r="32385" b="34290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0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修改申请时，可查看审核人对文件的批注、给的审核意见。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PDF、图片文件，可点击文件前的批注数量，查看批注内容；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如果是word文件，还可能有在线编辑痕迹；点击文件名称可查看内容以及机构在线修改的痕迹；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如果文件需要修改，请点击单个文件的【修改】，更换为修改后的文件；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误传不需要的文件，则可点击【删除】</w:t>
      </w:r>
    </w:p>
    <w:p>
      <w:pPr>
        <w:jc w:val="left"/>
      </w:pPr>
      <w:r>
        <w:drawing>
          <wp:inline distT="0" distB="0" distL="114300" distR="114300">
            <wp:extent cx="5261610" cy="2957195"/>
            <wp:effectExtent l="12700" t="12700" r="34290" b="27305"/>
            <wp:docPr id="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57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73040" cy="1188720"/>
            <wp:effectExtent l="12700" t="12700" r="22860" b="17780"/>
            <wp:docPr id="5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88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  <w:bidi w:val="0"/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3" w:name="_Toc806548342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受试者</w:t>
      </w:r>
      <w:bookmarkEnd w:id="23"/>
    </w:p>
    <w:p>
      <w:pPr>
        <w:pStyle w:val="3"/>
        <w:numPr>
          <w:numId w:val="0"/>
        </w:numPr>
        <w:bidi w:val="0"/>
        <w:outlineLvl w:val="1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4" w:name="_Toc741204130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9.1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受试者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随访</w:t>
      </w:r>
      <w:bookmarkEnd w:id="24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ind w:firstLine="420" w:firstLineChars="200"/>
      </w:pPr>
      <w:r>
        <w:rPr>
          <w:rFonts w:hint="eastAsia"/>
        </w:rPr>
        <w:t>如图7-1-1所示，在【受试者随访】下可查看受试者列表，在项目人员下</w:t>
      </w:r>
      <w:r>
        <w:rPr>
          <w:rFonts w:hint="eastAsia"/>
          <w:color w:val="FF0000"/>
        </w:rPr>
        <w:t>拥有C</w:t>
      </w:r>
      <w:r>
        <w:rPr>
          <w:color w:val="FF0000"/>
        </w:rPr>
        <w:t>RC</w:t>
      </w:r>
      <w:r>
        <w:rPr>
          <w:rFonts w:hint="eastAsia"/>
          <w:color w:val="FF0000"/>
          <w:lang w:eastAsia="zh-Hans"/>
        </w:rPr>
        <w:t>、</w:t>
      </w:r>
      <w:r>
        <w:rPr>
          <w:rFonts w:hint="eastAsia"/>
          <w:color w:val="FF0000"/>
          <w:lang w:val="en-US" w:eastAsia="zh-Hans"/>
        </w:rPr>
        <w:t>研究者、主研</w:t>
      </w:r>
      <w:r>
        <w:rPr>
          <w:rFonts w:hint="eastAsia"/>
          <w:color w:val="FF0000"/>
        </w:rPr>
        <w:t>权限</w:t>
      </w:r>
      <w:r>
        <w:rPr>
          <w:rFonts w:hint="eastAsia"/>
          <w:color w:val="FF0000"/>
          <w:lang w:val="en-US" w:eastAsia="zh-Hans"/>
        </w:rPr>
        <w:t>的人员</w:t>
      </w:r>
      <w:r>
        <w:rPr>
          <w:rFonts w:hint="eastAsia"/>
        </w:rPr>
        <w:t>，则可</w:t>
      </w:r>
      <w:r>
        <w:rPr>
          <w:rFonts w:hint="eastAsia"/>
          <w:lang w:val="en-US" w:eastAsia="zh-Hans"/>
        </w:rPr>
        <w:t>新增、修改受试者信息；</w:t>
      </w:r>
    </w:p>
    <w:p>
      <w:pPr>
        <w:ind w:firstLine="420" w:firstLineChars="200"/>
        <w:jc w:val="center"/>
      </w:pPr>
      <w:r>
        <w:drawing>
          <wp:inline distT="0" distB="0" distL="114300" distR="114300">
            <wp:extent cx="5807710" cy="2791460"/>
            <wp:effectExtent l="12700" t="12700" r="21590" b="15240"/>
            <wp:docPr id="6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27914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图7-1-1</w:t>
      </w:r>
    </w:p>
    <w:p>
      <w:pPr>
        <w:ind w:firstLine="420" w:firstLineChars="200"/>
      </w:pPr>
      <w:r>
        <w:rPr>
          <w:rFonts w:hint="eastAsia"/>
        </w:rPr>
        <w:t>新增受试者：维护受试者信息和状态</w:t>
      </w:r>
    </w:p>
    <w:p>
      <w:pPr>
        <w:jc w:val="center"/>
      </w:pPr>
      <w:r>
        <w:drawing>
          <wp:inline distT="0" distB="0" distL="114300" distR="114300">
            <wp:extent cx="4288155" cy="3890010"/>
            <wp:effectExtent l="12700" t="12700" r="17145" b="34290"/>
            <wp:docPr id="5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288155" cy="3890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rPr>
          <w:rFonts w:hint="eastAsia"/>
        </w:rPr>
      </w:pPr>
      <w:r>
        <w:rPr>
          <w:rFonts w:hint="eastAsia"/>
        </w:rPr>
        <w:t>如图7-1-2所示，在受试者列表页点击访视跟踪，查看受试者的访视、录入访视情况；</w:t>
      </w:r>
    </w:p>
    <w:p>
      <w:pPr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CRC点击某个具体访视，可录入访视的完成进度。</w:t>
      </w:r>
    </w:p>
    <w:p>
      <w:r>
        <w:drawing>
          <wp:inline distT="0" distB="0" distL="114300" distR="114300">
            <wp:extent cx="5266055" cy="2844165"/>
            <wp:effectExtent l="12700" t="12700" r="29845" b="13335"/>
            <wp:docPr id="7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44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5895" cy="2886710"/>
            <wp:effectExtent l="12700" t="12700" r="14605" b="21590"/>
            <wp:docPr id="7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886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图7-1-2</w:t>
      </w:r>
    </w:p>
    <w:p>
      <w:pPr>
        <w:jc w:val="center"/>
      </w:pPr>
    </w:p>
    <w:p>
      <w:pPr>
        <w:pStyle w:val="3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5" w:name="_Toc2012660310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9.2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访视管理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【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CRA、PM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】</w:t>
      </w:r>
      <w:bookmarkEnd w:id="25"/>
    </w:p>
    <w:p>
      <w:r>
        <w:rPr>
          <w:rFonts w:hint="eastAsia"/>
        </w:rPr>
        <w:t>如图7-2-1所示，点击【访视管理】可进行项目的访视配置（项目组织人员下</w:t>
      </w:r>
      <w:r>
        <w:rPr>
          <w:rFonts w:hint="eastAsia"/>
          <w:color w:val="FF0000"/>
        </w:rPr>
        <w:t>拥有</w:t>
      </w:r>
      <w:r>
        <w:rPr>
          <w:rFonts w:hint="eastAsia"/>
          <w:color w:val="FF0000"/>
          <w:lang w:val="en-US" w:eastAsia="zh-Hans"/>
        </w:rPr>
        <w:t>CRA权限的可配置、拥有</w:t>
      </w:r>
      <w:r>
        <w:rPr>
          <w:rFonts w:hint="eastAsia"/>
          <w:color w:val="FF0000"/>
        </w:rPr>
        <w:t>项目经理权限</w:t>
      </w:r>
      <w:r>
        <w:rPr>
          <w:rFonts w:hint="eastAsia"/>
          <w:color w:val="FF0000"/>
          <w:lang w:val="en-US" w:eastAsia="zh-Hans"/>
        </w:rPr>
        <w:t>的人员可发布生效随访方案</w:t>
      </w:r>
      <w:r>
        <w:rPr>
          <w:rFonts w:hint="eastAsia"/>
        </w:rPr>
        <w:t>）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配置方法见专用的手册。</w:t>
      </w:r>
    </w:p>
    <w:p>
      <w:r>
        <w:drawing>
          <wp:inline distT="0" distB="0" distL="0" distR="0">
            <wp:extent cx="5274310" cy="2310765"/>
            <wp:effectExtent l="12700" t="12700" r="21590" b="133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0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图7-2-1</w:t>
      </w:r>
    </w:p>
    <w:p>
      <w:pPr>
        <w:pStyle w:val="3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6" w:name="_Toc1766906273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9.3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随访日历</w:t>
      </w:r>
      <w:bookmarkEnd w:id="26"/>
    </w:p>
    <w:p>
      <w:r>
        <w:rPr>
          <w:rFonts w:hint="eastAsia"/>
        </w:rPr>
        <w:t>如图7-3-1所示，【项目实施】→【随访日历】，</w:t>
      </w:r>
      <w:r>
        <w:rPr>
          <w:rFonts w:hint="eastAsia"/>
          <w:lang w:val="en-US" w:eastAsia="zh-Hans"/>
        </w:rPr>
        <w:t>根据受试者的计划访视日期，显示出每日即将来随访的受试者，CRC、PI</w:t>
      </w:r>
      <w:r>
        <w:rPr>
          <w:rFonts w:hint="eastAsia"/>
        </w:rPr>
        <w:t>可对</w:t>
      </w:r>
      <w:r>
        <w:rPr>
          <w:rFonts w:hint="eastAsia"/>
          <w:lang w:val="en-US" w:eastAsia="zh-Hans"/>
        </w:rPr>
        <w:t>即将来随访的</w:t>
      </w:r>
      <w:r>
        <w:rPr>
          <w:rFonts w:hint="eastAsia"/>
        </w:rPr>
        <w:t>受试者进行访视排期</w:t>
      </w:r>
      <w:r>
        <w:rPr>
          <w:rFonts w:hint="eastAsia"/>
          <w:lang w:eastAsia="zh-Hans"/>
        </w:rPr>
        <w:t>。</w:t>
      </w:r>
    </w:p>
    <w:p>
      <w:r>
        <w:drawing>
          <wp:inline distT="0" distB="0" distL="0" distR="0">
            <wp:extent cx="5274310" cy="2807970"/>
            <wp:effectExtent l="12700" t="12700" r="21590" b="2413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79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图7-3-1</w:t>
      </w:r>
    </w:p>
    <w:p>
      <w:pPr>
        <w:pStyle w:val="2"/>
        <w:numPr>
          <w:ilvl w:val="0"/>
          <w:numId w:val="4"/>
        </w:numPr>
        <w:spacing w:before="156" w:after="156"/>
        <w:outlineLvl w:val="0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27" w:name="_Toc989859595"/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药品相关</w:t>
      </w:r>
      <w:bookmarkEnd w:id="27"/>
    </w:p>
    <w:p>
      <w:pPr>
        <w:pStyle w:val="3"/>
        <w:numPr>
          <w:numId w:val="0"/>
        </w:numPr>
        <w:spacing w:before="156" w:after="156"/>
        <w:outlineLvl w:val="1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8" w:name="_Toc14399856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10.1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药品启动管理</w:t>
      </w:r>
      <w:bookmarkEnd w:id="28"/>
    </w:p>
    <w:p>
      <w:pPr>
        <w:rPr>
          <w:rFonts w:hint="eastAsia"/>
          <w:lang w:eastAsia="zh-Hans"/>
        </w:rPr>
      </w:pPr>
      <w:r>
        <w:rPr>
          <w:rFonts w:hint="eastAsia"/>
        </w:rPr>
        <w:t>如图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-1-1-1所示，【药品信息备案】</w:t>
      </w:r>
      <w:r>
        <w:rPr>
          <w:rFonts w:hint="default"/>
        </w:rPr>
        <w:t>-</w:t>
      </w:r>
      <w:r>
        <w:rPr>
          <w:rFonts w:hint="eastAsia"/>
          <w:lang w:eastAsia="zh-Hans"/>
        </w:rPr>
        <w:t>【</w:t>
      </w:r>
      <w:r>
        <w:rPr>
          <w:rFonts w:hint="eastAsia"/>
          <w:lang w:val="en-US" w:eastAsia="zh-Hans"/>
        </w:rPr>
        <w:t>药品启动管理</w:t>
      </w:r>
      <w:r>
        <w:rPr>
          <w:rFonts w:hint="eastAsia"/>
          <w:lang w:eastAsia="zh-Hans"/>
        </w:rPr>
        <w:t>】，</w:t>
      </w:r>
      <w:r>
        <w:rPr>
          <w:rFonts w:hint="eastAsia"/>
        </w:rPr>
        <w:t>可设置项目药品的管理归属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包装规格</w:t>
      </w:r>
      <w:r>
        <w:rPr>
          <w:rFonts w:hint="eastAsia"/>
          <w:lang w:eastAsia="zh-Hans"/>
        </w:rPr>
        <w:t>。</w:t>
      </w:r>
    </w:p>
    <w:p>
      <w:r>
        <w:rPr>
          <w:rFonts w:hint="eastAsia"/>
        </w:rPr>
        <w:t>点击</w:t>
      </w:r>
      <w:r>
        <w:rPr>
          <w:rFonts w:hint="eastAsia"/>
          <w:lang w:eastAsia="zh-Hans"/>
        </w:rPr>
        <w:t>【</w:t>
      </w:r>
      <w:r>
        <w:rPr>
          <w:rFonts w:hint="eastAsia"/>
        </w:rPr>
        <w:t>启动</w:t>
      </w:r>
      <w:r>
        <w:rPr>
          <w:rFonts w:hint="eastAsia"/>
          <w:lang w:eastAsia="zh-Hans"/>
        </w:rPr>
        <w:t>】</w:t>
      </w:r>
      <w:r>
        <w:rPr>
          <w:rFonts w:hint="eastAsia"/>
        </w:rPr>
        <w:t>进入设置页面，已启动的项目可</w:t>
      </w:r>
      <w:r>
        <w:rPr>
          <w:rFonts w:hint="eastAsia"/>
          <w:lang w:eastAsia="zh-Hans"/>
        </w:rPr>
        <w:t>【</w:t>
      </w:r>
      <w:r>
        <w:rPr>
          <w:rFonts w:hint="eastAsia"/>
        </w:rPr>
        <w:t>撤销</w:t>
      </w:r>
      <w:r>
        <w:rPr>
          <w:rFonts w:hint="eastAsia"/>
          <w:lang w:eastAsia="zh-Hans"/>
        </w:rPr>
        <w:t>】</w:t>
      </w:r>
      <w:r>
        <w:rPr>
          <w:rFonts w:hint="eastAsia"/>
        </w:rPr>
        <w:t>重新设置管理归属；</w:t>
      </w:r>
    </w:p>
    <w:p>
      <w:r>
        <w:drawing>
          <wp:inline distT="0" distB="0" distL="114300" distR="114300">
            <wp:extent cx="5257800" cy="1573530"/>
            <wp:effectExtent l="12700" t="12700" r="12700" b="13970"/>
            <wp:docPr id="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573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-1-1-1</w:t>
      </w:r>
    </w:p>
    <w:p>
      <w:pPr>
        <w:rPr>
          <w:rFonts w:hint="eastAsia"/>
        </w:rPr>
      </w:pPr>
      <w:r>
        <w:rPr>
          <w:rFonts w:hint="eastAsia"/>
        </w:rPr>
        <w:t>如图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-1-1-2所示，在启动设置页面</w:t>
      </w:r>
    </w:p>
    <w:p>
      <w:pPr>
        <w:numPr>
          <w:ilvl w:val="0"/>
          <w:numId w:val="5"/>
        </w:numPr>
        <w:ind w:left="420" w:leftChars="0" w:hanging="420" w:firstLineChars="0"/>
      </w:pPr>
      <w:r>
        <w:rPr>
          <w:rFonts w:hint="eastAsia"/>
        </w:rPr>
        <w:t>管理归属</w:t>
      </w:r>
      <w:r>
        <w:rPr>
          <w:rFonts w:hint="eastAsia"/>
          <w:lang w:eastAsia="zh-Hans"/>
        </w:rPr>
        <w:t>：</w:t>
      </w:r>
      <w:r>
        <w:rPr>
          <w:rFonts w:hint="eastAsia"/>
          <w:lang w:val="en-US" w:eastAsia="zh-Hans"/>
        </w:rPr>
        <w:t>即设置该项目在哪里发放药品，</w:t>
      </w:r>
      <w:r>
        <w:rPr>
          <w:rFonts w:hint="eastAsia"/>
        </w:rPr>
        <w:t>可选择</w:t>
      </w:r>
      <w:r>
        <w:rPr>
          <w:rFonts w:hint="eastAsia"/>
          <w:lang w:val="en-US" w:eastAsia="zh-Hans"/>
        </w:rPr>
        <w:t>中心</w:t>
      </w:r>
      <w:r>
        <w:rPr>
          <w:rFonts w:hint="eastAsia"/>
        </w:rPr>
        <w:t>药房</w:t>
      </w:r>
      <w:r>
        <w:rPr>
          <w:rFonts w:hint="eastAsia"/>
          <w:lang w:eastAsia="zh-Hans"/>
        </w:rPr>
        <w:t>（</w:t>
      </w:r>
      <w:r>
        <w:rPr>
          <w:rFonts w:hint="eastAsia"/>
          <w:lang w:val="en-US" w:eastAsia="zh-Hans"/>
        </w:rPr>
        <w:t>由中心药房的药物管理员统一发药</w:t>
      </w:r>
      <w:r>
        <w:rPr>
          <w:rFonts w:hint="eastAsia"/>
          <w:lang w:eastAsia="zh-Hans"/>
        </w:rPr>
        <w:t>）</w:t>
      </w:r>
      <w:r>
        <w:rPr>
          <w:rFonts w:hint="eastAsia"/>
        </w:rPr>
        <w:t>、研究者管理（</w:t>
      </w:r>
      <w:r>
        <w:rPr>
          <w:rFonts w:hint="eastAsia"/>
          <w:lang w:val="en-US" w:eastAsia="zh-Hans"/>
        </w:rPr>
        <w:t>项目有药品管理员，由项目组在科室发药</w:t>
      </w:r>
      <w:r>
        <w:rPr>
          <w:rFonts w:hint="eastAsia"/>
        </w:rPr>
        <w:t>）</w:t>
      </w:r>
    </w:p>
    <w:p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3249295" cy="2806065"/>
            <wp:effectExtent l="12700" t="12700" r="14605" b="26035"/>
            <wp:docPr id="7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28060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val="en-US" w:eastAsia="zh-Hans"/>
        </w:rPr>
        <w:br w:type="page"/>
      </w:r>
    </w:p>
    <w:p>
      <w:pPr>
        <w:numPr>
          <w:ilvl w:val="0"/>
          <w:numId w:val="5"/>
        </w:numPr>
        <w:ind w:left="420" w:leftChars="0" w:hanging="420" w:firstLineChars="0"/>
      </w:pPr>
      <w:r>
        <w:rPr>
          <w:rFonts w:hint="eastAsia"/>
          <w:lang w:val="en-US" w:eastAsia="zh-Hans"/>
        </w:rPr>
        <w:t>药品管理员：设置该项目的专属药物管理员，如果没有专属人员，设置全部人员即可；药品管理员可收到该项目的发药等任务提醒。</w:t>
      </w:r>
    </w:p>
    <w:p>
      <w:pPr>
        <w:widowControl w:val="0"/>
        <w:numPr>
          <w:ilvl w:val="0"/>
          <w:numId w:val="0"/>
        </w:numPr>
        <w:jc w:val="center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2357120</wp:posOffset>
            </wp:positionH>
            <wp:positionV relativeFrom="paragraph">
              <wp:posOffset>40640</wp:posOffset>
            </wp:positionV>
            <wp:extent cx="2842895" cy="2471420"/>
            <wp:effectExtent l="12700" t="12700" r="14605" b="30480"/>
            <wp:wrapSquare wrapText="bothSides"/>
            <wp:docPr id="8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2471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2806700" cy="2435860"/>
            <wp:effectExtent l="12700" t="12700" r="25400" b="1524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435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3150" w:firstLineChars="1500"/>
        <w:jc w:val="both"/>
      </w:pPr>
      <w:r>
        <w:rPr>
          <w:rFonts w:hint="eastAsia"/>
          <w:lang w:val="en-US" w:eastAsia="zh-CN"/>
        </w:rPr>
        <w:t>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-1-1-2</w:t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5"/>
        </w:numPr>
        <w:ind w:left="420" w:leftChars="0" w:hanging="420" w:firstLineChars="0"/>
      </w:pPr>
      <w:r>
        <w:rPr>
          <w:rFonts w:hint="eastAsia"/>
          <w:lang w:val="en-US" w:eastAsia="zh-Hans"/>
        </w:rPr>
        <w:t>纳入日：填写该项目开始进行药品管理的日期。</w:t>
      </w:r>
    </w:p>
    <w:p>
      <w:pPr>
        <w:numPr>
          <w:ilvl w:val="0"/>
          <w:numId w:val="5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Hans"/>
        </w:rPr>
        <w:t>药品信息备案是否需要审核：该项目的涉及到的药品、以及药品包装规则的信息填写，如果是申办方CRA填写的，填写后是否需要药品管理员审核，如果需要审核，请选择“是”。本设置对药品管理员自己修改包装规格信息不加以限制，即无论是否需要审核，管理员修改都立马生效。</w:t>
      </w:r>
    </w:p>
    <w:p>
      <w:pPr>
        <w:numPr>
          <w:ilvl w:val="0"/>
          <w:numId w:val="0"/>
        </w:numPr>
        <w:ind w:leftChars="0"/>
        <w:rPr>
          <w:rFonts w:hint="eastAsia"/>
        </w:rPr>
      </w:pPr>
    </w:p>
    <w:p>
      <w:pPr>
        <w:pStyle w:val="3"/>
        <w:spacing w:before="156" w:after="156"/>
        <w:outlineLvl w:val="1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29" w:name="_Toc6870"/>
      <w:bookmarkStart w:id="30" w:name="_Toc34933573"/>
      <w:bookmarkStart w:id="31" w:name="_Toc1633927743"/>
      <w:bookmarkStart w:id="32" w:name="_Toc5926"/>
      <w:bookmarkStart w:id="33" w:name="_Toc1500211328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10.2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包装规格备案</w:t>
      </w:r>
      <w:bookmarkEnd w:id="29"/>
      <w:bookmarkEnd w:id="30"/>
      <w:bookmarkEnd w:id="31"/>
      <w:bookmarkEnd w:id="32"/>
      <w:bookmarkEnd w:id="33"/>
    </w:p>
    <w:p>
      <w:pPr>
        <w:rPr>
          <w:rFonts w:hint="eastAsia"/>
        </w:rPr>
      </w:pPr>
      <w:r>
        <w:rPr>
          <w:rFonts w:hint="eastAsia"/>
        </w:rPr>
        <w:t>如图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-1-2-1所示，【药品信息备案】</w:t>
      </w:r>
      <w:r>
        <w:rPr>
          <w:rFonts w:hint="default"/>
        </w:rPr>
        <w:t>-</w:t>
      </w:r>
      <w:r>
        <w:rPr>
          <w:rFonts w:hint="eastAsia"/>
          <w:lang w:eastAsia="zh-Hans"/>
        </w:rPr>
        <w:t>【</w:t>
      </w:r>
      <w:r>
        <w:rPr>
          <w:rFonts w:hint="eastAsia"/>
          <w:lang w:val="en-US" w:eastAsia="zh-Hans"/>
        </w:rPr>
        <w:t>包装规格备案</w:t>
      </w:r>
      <w:r>
        <w:rPr>
          <w:rFonts w:hint="eastAsia"/>
          <w:lang w:eastAsia="zh-Hans"/>
        </w:rPr>
        <w:t>】，</w:t>
      </w:r>
      <w:r>
        <w:rPr>
          <w:rFonts w:hint="eastAsia"/>
        </w:rPr>
        <w:t>点击新增药品，</w:t>
      </w:r>
      <w:r>
        <w:rPr>
          <w:rFonts w:hint="eastAsia"/>
          <w:lang w:val="en-US" w:eastAsia="zh-Hans"/>
        </w:rPr>
        <w:t>先</w:t>
      </w:r>
      <w:r>
        <w:rPr>
          <w:rFonts w:hint="eastAsia"/>
        </w:rPr>
        <w:t>填写药品基本信息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然后填写包装规格</w:t>
      </w:r>
      <w:r>
        <w:rPr>
          <w:rFonts w:hint="eastAsia"/>
          <w:lang w:eastAsia="zh-Hans"/>
        </w:rPr>
        <w:t>。</w:t>
      </w:r>
    </w:p>
    <w:p>
      <w:pPr>
        <w:pStyle w:val="5"/>
        <w:numPr>
          <w:ilvl w:val="0"/>
          <w:numId w:val="6"/>
        </w:numPr>
        <w:spacing w:line="360" w:lineRule="auto"/>
        <w:ind w:left="425" w:leftChars="0" w:hanging="425" w:firstLineChars="0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先选择单位，如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图4-1-2-2，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如果医院有常用单位，可在配置中添加，省去每个项目都要单独添加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Hans" w:bidi="ar-SA"/>
        </w:rPr>
        <w:t>；</w:t>
      </w:r>
    </w:p>
    <w:p>
      <w:pPr>
        <w:jc w:val="both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34305" cy="2445385"/>
            <wp:effectExtent l="12700" t="12700" r="36195" b="3111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24453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图4-1-2-2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如果输入关键字，未搜索到需要的单位，可点击【添加】新增一个，如</w:t>
      </w:r>
      <w:r>
        <w:rPr>
          <w:rFonts w:hint="eastAsia"/>
          <w:lang w:val="en-US" w:eastAsia="zh-CN"/>
        </w:rPr>
        <w:t>图4-1-2-3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08270" cy="1574165"/>
            <wp:effectExtent l="12700" t="12700" r="36830" b="1333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15741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图4-1-2-3</w:t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选好全部需要的单位后，点击【下一步】，如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图4-1-2-4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32400" cy="1064260"/>
            <wp:effectExtent l="12700" t="12700" r="12700" b="1524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1064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图4-1-2-4</w:t>
      </w:r>
    </w:p>
    <w:p>
      <w:p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br w:type="page"/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如果药品的单位文字错误，需要修改，可鼠标移入单位名称上，选择【编辑该条】修改名称，修改名称后，仅对当前药品生效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，如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4-1-2-5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36845" cy="1134745"/>
            <wp:effectExtent l="12700" t="12700" r="33655" b="2095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134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4-1-2-5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进入下一步后，如果发现缺少单位，可点击【已选单位】重新添加，如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图4-1-2-6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156835" cy="1838960"/>
            <wp:effectExtent l="12700" t="12700" r="37465" b="2794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18389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图4-1-2-6</w:t>
      </w:r>
    </w:p>
    <w:p>
      <w:pPr>
        <w:pStyle w:val="5"/>
        <w:numPr>
          <w:ilvl w:val="0"/>
          <w:numId w:val="6"/>
        </w:numPr>
        <w:ind w:left="425" w:leftChars="0" w:hanging="425" w:firstLineChars="0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点击【新增外包装】，选择最外层包装（即贴有药品编号的包装）的单位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，如图4-1-2-7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194300" cy="2294255"/>
            <wp:effectExtent l="12700" t="12700" r="25400" b="2984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2294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图4-1-2-7</w:t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color w:val="C00000"/>
          <w:kern w:val="2"/>
          <w:sz w:val="21"/>
          <w:szCs w:val="22"/>
          <w:lang w:val="en-US" w:eastAsia="zh-CN" w:bidi="ar-SA"/>
        </w:rPr>
        <w:br w:type="page"/>
      </w:r>
    </w:p>
    <w:p>
      <w:pPr>
        <w:pStyle w:val="5"/>
        <w:numPr>
          <w:ilvl w:val="0"/>
          <w:numId w:val="6"/>
        </w:numPr>
        <w:ind w:left="425" w:leftChars="0" w:hanging="425" w:firstLineChars="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color w:val="C00000"/>
          <w:kern w:val="2"/>
          <w:sz w:val="21"/>
          <w:szCs w:val="22"/>
          <w:lang w:val="en-US" w:eastAsia="zh-CN" w:bidi="ar-SA"/>
        </w:rPr>
        <w:t>鼠标移入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已存在的包装上，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Hans" w:bidi="ar-SA"/>
        </w:rPr>
        <w:t>点击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【加内包装】，便可填写当前包装的内部包装及其内包装的数量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，如图4-1-2-8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02555" cy="2628265"/>
            <wp:effectExtent l="12700" t="12700" r="17145" b="2603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26282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图4-1-2-8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已添加好内包装后，下方会自动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Hans" w:bidi="ar-SA"/>
        </w:rPr>
        <w:t>显示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规格的描述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Hans" w:bidi="ar-SA"/>
        </w:rPr>
        <w:t>，请留意单位的顺序是否有误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，如图4-1-2-9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06365" cy="2447925"/>
            <wp:effectExtent l="12700" t="12700" r="13335" b="2857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2447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图4-1-2-9</w:t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br w:type="page"/>
      </w:r>
    </w:p>
    <w:p>
      <w:pPr>
        <w:pStyle w:val="5"/>
        <w:numPr>
          <w:ilvl w:val="0"/>
          <w:numId w:val="6"/>
        </w:numPr>
        <w:ind w:left="425" w:leftChars="0" w:hanging="425" w:firstLineChars="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如果一个外包装中，有多个规格的内包装，可鼠标移入上一层包装上，选择【加内包装】，可再增加一个内包装，如图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4-1-2-10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：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47640" cy="2746375"/>
            <wp:effectExtent l="12700" t="12700" r="22860" b="349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746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4-1-2-10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pStyle w:val="5"/>
        <w:numPr>
          <w:ilvl w:val="0"/>
          <w:numId w:val="6"/>
        </w:numPr>
        <w:ind w:left="425" w:leftChars="0" w:hanging="425" w:firstLineChars="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删除某个单位，鼠标移入后，点【删除】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，如图4-1-2-11</w:t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如果该包装有内包装，则需要选择是否删除内包装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Hans" w:bidi="ar-SA"/>
        </w:rPr>
        <w:t>；无内包装的直接删除。</w:t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【仅删除该条】：删除后，原来的内包装不删除，直接挂靠被删除的包装的上一级</w:t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【删除该条及后续内包装】：删除当前包装及其后面的全部内包装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735320" cy="2708275"/>
            <wp:effectExtent l="12700" t="12700" r="17780" b="2222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2708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4-1-2-11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br w:type="page"/>
      </w:r>
    </w:p>
    <w:p>
      <w:pPr>
        <w:pStyle w:val="5"/>
        <w:numPr>
          <w:ilvl w:val="0"/>
          <w:numId w:val="6"/>
        </w:numPr>
        <w:ind w:left="425" w:leftChars="0" w:hanging="425" w:firstLineChars="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如果药品某个包装规格已入库了，则不可删除和修改，如图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4-1-2-12</w:t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30495" cy="3113405"/>
            <wp:effectExtent l="12700" t="12700" r="14605" b="2349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31134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4-1-2-12</w:t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br w:type="page"/>
      </w:r>
    </w:p>
    <w:p>
      <w:pPr>
        <w:pStyle w:val="5"/>
        <w:numPr>
          <w:ilvl w:val="0"/>
          <w:numId w:val="6"/>
        </w:numPr>
        <w:ind w:left="425" w:leftChars="0" w:hanging="425" w:firstLineChars="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如果药品有多个最外层包装，如项目的同一个药品，同时有2种包装，外包装都是盒，但是每盒里面的药品是完全不一样的，则可点【添加外包装】添加多个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，如</w:t>
      </w:r>
      <w: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4-1-2-13</w:t>
      </w:r>
    </w:p>
    <w:p>
      <w:pPr>
        <w:pStyle w:val="5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45100" cy="2388235"/>
            <wp:effectExtent l="12700" t="12700" r="25400" b="3746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3882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141595" cy="4000500"/>
            <wp:effectExtent l="12700" t="12700" r="27305" b="2540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41595" cy="400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图4-1-2-13</w:t>
      </w:r>
    </w:p>
    <w:p>
      <w:pPr>
        <w:rPr>
          <w:rFonts w:hint="eastAsia"/>
        </w:rPr>
      </w:pPr>
    </w:p>
    <w:p>
      <w:pPr>
        <w:rPr>
          <w:rFonts w:hint="default"/>
          <w:lang w:eastAsia="zh-CN"/>
        </w:rPr>
      </w:pPr>
      <w:r>
        <w:rPr>
          <w:rFonts w:hint="eastAsia"/>
          <w:lang w:val="en-US" w:eastAsia="zh-Hans"/>
        </w:rPr>
        <w:br w:type="page"/>
      </w:r>
    </w:p>
    <w:p>
      <w:pPr>
        <w:numPr>
          <w:ilvl w:val="0"/>
          <w:numId w:val="6"/>
        </w:numPr>
        <w:ind w:left="425" w:leftChars="0" w:hanging="425" w:firstLineChars="0"/>
        <w:rPr>
          <w:rFonts w:hint="default"/>
          <w:lang w:eastAsia="zh-CN"/>
        </w:rPr>
      </w:pPr>
      <w:r>
        <w:rPr>
          <w:rFonts w:hint="eastAsia"/>
          <w:lang w:val="en-US" w:eastAsia="zh-Hans"/>
        </w:rPr>
        <w:t>提交已设置好的规格：</w:t>
      </w:r>
      <w:r>
        <w:rPr>
          <w:rFonts w:hint="eastAsia"/>
          <w:lang w:val="en-US" w:eastAsia="zh-CN"/>
        </w:rPr>
        <w:t>如</w:t>
      </w:r>
      <w:r>
        <w:rPr>
          <w:rFonts w:hint="default"/>
          <w:lang w:eastAsia="zh-CN"/>
        </w:rPr>
        <w:t>果药品无需审核，只有【保存】按键，保存后即为“已备案”药品，便可投入使用</w:t>
      </w:r>
      <w:r>
        <w:rPr>
          <w:rFonts w:hint="eastAsia"/>
          <w:lang w:eastAsia="zh-Hans"/>
        </w:rPr>
        <w:t>。</w:t>
      </w:r>
      <w:r>
        <w:rPr>
          <w:rFonts w:hint="default"/>
          <w:lang w:eastAsia="zh-CN"/>
        </w:rPr>
        <w:t>如果该项目的药品是需要审核的，申办方填写好信息后，需要提交审核，即点【提交】，如图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-1-2-</w:t>
      </w:r>
      <w:r>
        <w:rPr>
          <w:rFonts w:hint="eastAsia"/>
          <w:lang w:val="en-US" w:eastAsia="zh-CN"/>
        </w:rPr>
        <w:t>14</w:t>
      </w:r>
      <w:r>
        <w:rPr>
          <w:rFonts w:hint="default"/>
          <w:lang w:eastAsia="zh-CN"/>
        </w:rPr>
        <w:t>：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21605" cy="2487930"/>
            <wp:effectExtent l="12700" t="12700" r="23495" b="1397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21605" cy="2487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</w:rPr>
        <w:t>图</w:t>
      </w:r>
      <w:r>
        <w:rPr>
          <w:rFonts w:hint="eastAsia"/>
          <w:lang w:eastAsia="zh-CN"/>
        </w:rPr>
        <w:t>4</w:t>
      </w:r>
      <w:r>
        <w:rPr>
          <w:rFonts w:hint="eastAsia"/>
        </w:rPr>
        <w:t>-1-2-</w:t>
      </w:r>
      <w:r>
        <w:rPr>
          <w:rFonts w:hint="eastAsia"/>
          <w:lang w:val="en-US" w:eastAsia="zh-CN"/>
        </w:rPr>
        <w:t>14</w:t>
      </w:r>
    </w:p>
    <w:p>
      <w:pPr>
        <w:numPr>
          <w:ilvl w:val="0"/>
          <w:numId w:val="6"/>
        </w:numPr>
        <w:ind w:left="425" w:leftChars="0" w:hanging="425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已经填写，还未提交的药品，可批量选择后，一起【批量提交】</w:t>
      </w:r>
    </w:p>
    <w:p>
      <w:pPr>
        <w:pStyle w:val="5"/>
        <w:numPr>
          <w:ilvl w:val="0"/>
          <w:numId w:val="0"/>
        </w:numPr>
        <w:spacing w:line="360" w:lineRule="auto"/>
        <w:jc w:val="center"/>
      </w:pPr>
      <w:r>
        <w:drawing>
          <wp:inline distT="0" distB="0" distL="114300" distR="114300">
            <wp:extent cx="6040120" cy="1423035"/>
            <wp:effectExtent l="12700" t="12700" r="17780" b="3746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1423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spacing w:line="360" w:lineRule="auto"/>
        <w:jc w:val="center"/>
      </w:pPr>
      <w:r>
        <w:t>图2-2</w:t>
      </w:r>
    </w:p>
    <w:p>
      <w:pPr>
        <w:pStyle w:val="5"/>
        <w:numPr>
          <w:ilvl w:val="0"/>
          <w:numId w:val="0"/>
        </w:numPr>
        <w:spacing w:line="360" w:lineRule="auto"/>
        <w:jc w:val="center"/>
      </w:pPr>
      <w:r>
        <w:br w:type="page"/>
      </w:r>
    </w:p>
    <w:p>
      <w:pPr>
        <w:numPr>
          <w:ilvl w:val="0"/>
          <w:numId w:val="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default"/>
          <w:lang w:eastAsia="zh-CN"/>
        </w:rPr>
        <w:t>撤回：已提交待审核的，如果发现错误，可撤回修改；已审核通过的，但是仍然需要修改，也可撤回修改；</w:t>
      </w:r>
    </w:p>
    <w:p>
      <w:pPr>
        <w:pStyle w:val="5"/>
        <w:numPr>
          <w:ilvl w:val="0"/>
          <w:numId w:val="0"/>
        </w:numPr>
        <w:spacing w:line="360" w:lineRule="auto"/>
        <w:jc w:val="center"/>
      </w:pPr>
      <w:r>
        <w:drawing>
          <wp:inline distT="0" distB="0" distL="114300" distR="114300">
            <wp:extent cx="5735955" cy="1407160"/>
            <wp:effectExtent l="12700" t="12700" r="17145" b="2794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1407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spacing w:line="360" w:lineRule="auto"/>
        <w:jc w:val="center"/>
        <w:rPr>
          <w:rFonts w:hint="eastAsia"/>
          <w:lang w:eastAsia="zh-CN"/>
        </w:rPr>
      </w:pPr>
      <w:r>
        <w:t>图2-3</w:t>
      </w:r>
    </w:p>
    <w:p>
      <w:pPr>
        <w:numPr>
          <w:ilvl w:val="0"/>
          <w:numId w:val="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default"/>
          <w:lang w:eastAsia="zh-CN"/>
        </w:rPr>
        <w:t>批量撤回：选择多个药品，一起撤回</w:t>
      </w:r>
    </w:p>
    <w:p>
      <w:pPr>
        <w:pStyle w:val="5"/>
        <w:numPr>
          <w:ilvl w:val="0"/>
          <w:numId w:val="0"/>
        </w:numPr>
        <w:spacing w:line="360" w:lineRule="auto"/>
        <w:jc w:val="center"/>
      </w:pPr>
      <w:r>
        <w:drawing>
          <wp:inline distT="0" distB="0" distL="114300" distR="114300">
            <wp:extent cx="5803265" cy="1330325"/>
            <wp:effectExtent l="12700" t="12700" r="26035" b="2857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03265" cy="133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pStyle w:val="3"/>
        <w:spacing w:before="156" w:after="156"/>
        <w:outlineLvl w:val="1"/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34" w:name="_Toc15857"/>
      <w:bookmarkStart w:id="35" w:name="_Toc1550182412"/>
      <w:bookmarkStart w:id="36" w:name="_Toc7806"/>
      <w:bookmarkStart w:id="37" w:name="_Toc446290269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10.3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设盲与分装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备案</w:t>
      </w:r>
      <w:bookmarkEnd w:id="34"/>
      <w:bookmarkEnd w:id="35"/>
      <w:bookmarkEnd w:id="36"/>
      <w:bookmarkEnd w:id="37"/>
    </w:p>
    <w:p>
      <w:pPr>
        <w:bidi w:val="0"/>
        <w:rPr>
          <w:rFonts w:hint="eastAsia"/>
          <w:lang w:val="en-US" w:eastAsia="zh-Hans"/>
        </w:rPr>
      </w:pPr>
      <w:r>
        <w:rPr>
          <w:rFonts w:hint="default"/>
          <w:lang w:val="en-US" w:eastAsia="zh-CN"/>
        </w:rPr>
        <w:t>如果本项目的药品，运输过来是</w:t>
      </w:r>
      <w:r>
        <w:rPr>
          <w:rFonts w:hint="eastAsia"/>
          <w:lang w:val="en-US" w:eastAsia="zh-Hans"/>
        </w:rPr>
        <w:t>非盲的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Hans"/>
        </w:rPr>
        <w:t>在中心进行设盲包装，</w:t>
      </w:r>
      <w:r>
        <w:rPr>
          <w:rFonts w:hint="default"/>
          <w:lang w:val="en-US" w:eastAsia="zh-CN"/>
        </w:rPr>
        <w:t>发放的时候</w:t>
      </w:r>
      <w:r>
        <w:rPr>
          <w:rFonts w:hint="eastAsia"/>
          <w:lang w:val="en-US" w:eastAsia="zh-Hans"/>
        </w:rPr>
        <w:t>是盲态的</w:t>
      </w:r>
      <w:r>
        <w:rPr>
          <w:rFonts w:hint="default"/>
          <w:lang w:val="en-US" w:eastAsia="zh-CN"/>
        </w:rPr>
        <w:t>，则需要使用设盲和分装功能，故而需要先设置设盲包装</w:t>
      </w:r>
      <w:r>
        <w:rPr>
          <w:rFonts w:hint="eastAsia"/>
          <w:lang w:val="en-US" w:eastAsia="zh-Hans"/>
        </w:rPr>
        <w:t>。</w:t>
      </w:r>
    </w:p>
    <w:p>
      <w:pPr>
        <w:bidi w:val="0"/>
        <w:rPr>
          <w:rFonts w:hint="eastAsia"/>
          <w:lang w:val="en-US" w:eastAsia="zh-Hans"/>
        </w:rPr>
      </w:pPr>
    </w:p>
    <w:p>
      <w:pPr>
        <w:pStyle w:val="4"/>
        <w:spacing w:before="156" w:after="156"/>
        <w:outlineLvl w:val="2"/>
        <w:rPr>
          <w:rFonts w:hint="default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38" w:name="_Toc1787655759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3.1设盲包装备案</w:t>
      </w:r>
      <w:bookmarkEnd w:id="38"/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点击【新增包装】，可添加</w:t>
      </w:r>
      <w:r>
        <w:rPr>
          <w:rFonts w:hint="eastAsia"/>
          <w:lang w:val="en-US" w:eastAsia="zh-Hans"/>
        </w:rPr>
        <w:t>一种</w:t>
      </w:r>
      <w:r>
        <w:rPr>
          <w:rFonts w:hint="default"/>
          <w:lang w:val="en-US" w:eastAsia="zh-CN"/>
        </w:rPr>
        <w:t>包装；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点击【复制】，则复制当前内容，可通过【编辑】修改</w:t>
      </w:r>
      <w:r>
        <w:rPr>
          <w:rFonts w:hint="eastAsia"/>
          <w:lang w:val="en-US" w:eastAsia="zh-Hans"/>
        </w:rPr>
        <w:t>复制后的</w:t>
      </w:r>
      <w:r>
        <w:rPr>
          <w:rFonts w:hint="default"/>
          <w:lang w:val="en-US" w:eastAsia="zh-CN"/>
        </w:rPr>
        <w:t>内容；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在包装还未被使用的时候，可【删除】</w:t>
      </w:r>
    </w:p>
    <w:p>
      <w:pPr>
        <w:bidi w:val="0"/>
      </w:pPr>
      <w:r>
        <w:drawing>
          <wp:inline distT="0" distB="0" distL="114300" distR="114300">
            <wp:extent cx="5303520" cy="1137920"/>
            <wp:effectExtent l="12700" t="12700" r="17780" b="17780"/>
            <wp:docPr id="26" name="图片 26" descr="微信截图_20210609105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截图_2021060910575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1137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图4-1-3-1-2</w:t>
      </w:r>
    </w:p>
    <w:p>
      <w:pPr>
        <w:pStyle w:val="5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新增一个包装时，输入包装名称，然后选择本盲态包装中，真实要放置哪些药品</w:t>
      </w:r>
      <w:r>
        <w:rPr>
          <w:rFonts w:hint="eastAsia"/>
          <w:lang w:val="en-US" w:eastAsia="zh-Hans"/>
        </w:rPr>
        <w:t>、药品的规格</w:t>
      </w:r>
      <w:r>
        <w:rPr>
          <w:rFonts w:hint="default"/>
          <w:lang w:val="en-US" w:eastAsia="zh-CN"/>
        </w:rPr>
        <w:t>及其</w:t>
      </w:r>
      <w:r>
        <w:rPr>
          <w:rFonts w:hint="eastAsia"/>
          <w:lang w:val="en-US" w:eastAsia="zh-Hans"/>
        </w:rPr>
        <w:t>放置的</w:t>
      </w:r>
      <w:r>
        <w:rPr>
          <w:rFonts w:hint="default"/>
          <w:lang w:val="en-US" w:eastAsia="zh-CN"/>
        </w:rPr>
        <w:t>数量</w:t>
      </w:r>
      <w:r>
        <w:rPr>
          <w:rFonts w:hint="eastAsia"/>
          <w:lang w:val="en-US" w:eastAsia="zh-Hans"/>
        </w:rPr>
        <w:t>。</w:t>
      </w:r>
    </w:p>
    <w:p>
      <w:pPr>
        <w:bidi w:val="0"/>
      </w:pPr>
      <w:r>
        <w:drawing>
          <wp:inline distT="0" distB="0" distL="114300" distR="114300">
            <wp:extent cx="5203825" cy="1788160"/>
            <wp:effectExtent l="12700" t="12700" r="15875" b="2794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1788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</w:pPr>
      <w:r>
        <w:rPr>
          <w:rFonts w:hint="eastAsia"/>
          <w:lang w:val="en-US" w:eastAsia="zh-CN"/>
        </w:rPr>
        <w:t>图4-1-3-1-3</w:t>
      </w:r>
    </w:p>
    <w:p>
      <w:pPr>
        <w:pStyle w:val="5"/>
        <w:numPr>
          <w:ilvl w:val="0"/>
          <w:numId w:val="0"/>
        </w:numPr>
        <w:spacing w:line="360" w:lineRule="auto"/>
        <w:outlineLvl w:val="9"/>
      </w:pP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如图4-1-3-1-4所示</w:t>
      </w:r>
      <w:r>
        <w:rPr>
          <w:rFonts w:hint="default"/>
          <w:lang w:val="en-US" w:eastAsia="zh-CN"/>
        </w:rPr>
        <w:t>新增一个包装时，选择药品时，需要选择药品的合适单位</w:t>
      </w:r>
    </w:p>
    <w:p>
      <w:pPr>
        <w:bidi w:val="0"/>
        <w:rPr>
          <w:rFonts w:hint="default"/>
          <w:lang w:eastAsia="zh-CN"/>
        </w:rPr>
      </w:pPr>
      <w:r>
        <w:drawing>
          <wp:inline distT="0" distB="0" distL="114300" distR="114300">
            <wp:extent cx="5200650" cy="2321560"/>
            <wp:effectExtent l="0" t="0" r="6350" b="1524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321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图4-1-3-1-4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br w:type="page"/>
      </w:r>
    </w:p>
    <w:p>
      <w:pPr>
        <w:pStyle w:val="5"/>
        <w:bidi w:val="0"/>
        <w:outlineLvl w:val="2"/>
      </w:pPr>
      <w:bookmarkStart w:id="39" w:name="_Toc1834119983"/>
      <w:r>
        <w:rPr>
          <w:rFonts w:hint="default" w:ascii="宋体" w:hAnsi="宋体" w:eastAsia="宋体" w:cs="宋体"/>
          <w:b/>
          <w:bCs/>
          <w:color w:val="44546A" w:themeColor="text2"/>
          <w:kern w:val="2"/>
          <w:sz w:val="21"/>
          <w:szCs w:val="21"/>
          <w:lang w:eastAsia="zh-CN" w:bidi="ar-SA"/>
          <w14:textFill>
            <w14:solidFill>
              <w14:schemeClr w14:val="tx2"/>
            </w14:solidFill>
          </w14:textFill>
        </w:rPr>
        <w:t>10</w:t>
      </w:r>
      <w:r>
        <w:rPr>
          <w:rFonts w:hint="eastAsia" w:ascii="宋体" w:hAnsi="宋体" w:eastAsia="宋体" w:cs="宋体"/>
          <w:b/>
          <w:bCs/>
          <w:color w:val="44546A" w:themeColor="text2"/>
          <w:kern w:val="2"/>
          <w:sz w:val="21"/>
          <w:szCs w:val="21"/>
          <w:lang w:val="en-US" w:eastAsia="zh-CN" w:bidi="ar-SA"/>
          <w14:textFill>
            <w14:solidFill>
              <w14:schemeClr w14:val="tx2"/>
            </w14:solidFill>
          </w14:textFill>
        </w:rPr>
        <w:t>.3.2分装规则备案</w:t>
      </w:r>
      <w:bookmarkEnd w:id="39"/>
    </w:p>
    <w:p>
      <w:pPr>
        <w:bidi w:val="0"/>
        <w:rPr>
          <w:rFonts w:hint="eastAsia"/>
          <w:lang w:eastAsia="zh-CN"/>
        </w:rPr>
      </w:pPr>
      <w:r>
        <w:rPr>
          <w:rFonts w:hint="eastAsia"/>
          <w:lang w:val="en-US" w:eastAsia="zh-Hans"/>
        </w:rPr>
        <w:t>定义在医院重新包装后，新的药品编号信息。</w:t>
      </w:r>
    </w:p>
    <w:p>
      <w:pPr>
        <w:numPr>
          <w:ilvl w:val="0"/>
          <w:numId w:val="7"/>
        </w:numPr>
        <w:bidi w:val="0"/>
        <w:rPr>
          <w:rFonts w:hint="eastAsia"/>
          <w:lang w:eastAsia="zh-CN"/>
        </w:rPr>
      </w:pPr>
      <w:r>
        <w:rPr>
          <w:rFonts w:hint="default"/>
          <w:lang w:val="en-US" w:eastAsia="zh-CN"/>
        </w:rPr>
        <w:t>点击【新增规则】可添加一个分装后的药品编号；</w:t>
      </w:r>
    </w:p>
    <w:p>
      <w:pPr>
        <w:numPr>
          <w:ilvl w:val="0"/>
          <w:numId w:val="7"/>
        </w:numPr>
        <w:bidi w:val="0"/>
        <w:rPr>
          <w:rFonts w:hint="eastAsia"/>
          <w:lang w:eastAsia="zh-CN"/>
        </w:rPr>
      </w:pPr>
      <w:r>
        <w:rPr>
          <w:rFonts w:hint="default"/>
          <w:lang w:val="en-US" w:eastAsia="zh-CN"/>
        </w:rPr>
        <w:t>也可点击【导入规则】在线编辑excel，批量新增规则；</w:t>
      </w:r>
    </w:p>
    <w:p>
      <w:pPr>
        <w:numPr>
          <w:ilvl w:val="0"/>
          <w:numId w:val="7"/>
        </w:numPr>
        <w:bidi w:val="0"/>
        <w:rPr>
          <w:rFonts w:hint="eastAsia"/>
          <w:lang w:eastAsia="zh-CN"/>
        </w:rPr>
      </w:pPr>
      <w:r>
        <w:rPr>
          <w:rFonts w:hint="default"/>
          <w:lang w:val="en-US" w:eastAsia="zh-CN"/>
        </w:rPr>
        <w:t>点击【打印随机表】可下载列表内容；</w:t>
      </w:r>
    </w:p>
    <w:p>
      <w:pPr>
        <w:numPr>
          <w:ilvl w:val="0"/>
          <w:numId w:val="7"/>
        </w:numPr>
        <w:bidi w:val="0"/>
        <w:rPr>
          <w:rFonts w:hint="eastAsia"/>
          <w:lang w:eastAsia="zh-CN"/>
        </w:rPr>
      </w:pPr>
      <w:r>
        <w:rPr>
          <w:rFonts w:hint="default"/>
          <w:lang w:val="en-US" w:eastAsia="zh-CN"/>
        </w:rPr>
        <w:t>点击【批量删除】可删除已选中的规则，已被使用的不可删除</w:t>
      </w:r>
    </w:p>
    <w:p>
      <w:pPr>
        <w:bidi w:val="0"/>
      </w:pPr>
      <w:r>
        <w:drawing>
          <wp:inline distT="0" distB="0" distL="114300" distR="114300">
            <wp:extent cx="5093970" cy="2563495"/>
            <wp:effectExtent l="12700" t="12700" r="24130" b="1460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93970" cy="2563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default"/>
          <w:lang w:eastAsia="zh-CN"/>
        </w:rPr>
        <w:br w:type="page"/>
      </w:r>
    </w:p>
    <w:p>
      <w:pPr>
        <w:numPr>
          <w:ilvl w:val="0"/>
          <w:numId w:val="7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点击【新增规则】，</w:t>
      </w:r>
      <w:r>
        <w:rPr>
          <w:rFonts w:hint="eastAsia"/>
          <w:lang w:val="en-US" w:eastAsia="zh-Hans"/>
        </w:rPr>
        <w:t>填写</w:t>
      </w:r>
      <w:r>
        <w:rPr>
          <w:rFonts w:hint="default"/>
          <w:lang w:eastAsia="zh-CN"/>
        </w:rPr>
        <w:t>分装后的药品编号，</w:t>
      </w:r>
      <w:r>
        <w:rPr>
          <w:rFonts w:hint="eastAsia"/>
          <w:lang w:val="en-US" w:eastAsia="zh-Hans"/>
        </w:rPr>
        <w:t>并选择分装后入库的药品名称、规格以及入库（发放）单位。</w:t>
      </w:r>
    </w:p>
    <w:p>
      <w:pPr>
        <w:bidi w:val="0"/>
      </w:pPr>
      <w:r>
        <w:drawing>
          <wp:inline distT="0" distB="0" distL="114300" distR="114300">
            <wp:extent cx="5210175" cy="2304415"/>
            <wp:effectExtent l="12700" t="12700" r="34925" b="1968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304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 w:val="0"/>
        <w:numPr>
          <w:ilvl w:val="0"/>
          <w:numId w:val="0"/>
        </w:numPr>
        <w:spacing w:line="360" w:lineRule="auto"/>
        <w:jc w:val="both"/>
        <w:outlineLvl w:val="9"/>
        <w:rPr>
          <w:rFonts w:hint="eastAsia"/>
          <w:lang w:eastAsia="zh-CN"/>
        </w:rPr>
      </w:pPr>
    </w:p>
    <w:p>
      <w:pPr>
        <w:numPr>
          <w:ilvl w:val="0"/>
          <w:numId w:val="7"/>
        </w:numPr>
        <w:bidi w:val="0"/>
        <w:rPr>
          <w:rFonts w:hint="eastAsia"/>
          <w:lang w:eastAsia="zh-CN"/>
        </w:rPr>
      </w:pPr>
      <w:r>
        <w:rPr>
          <w:rFonts w:hint="default"/>
          <w:lang w:eastAsia="zh-CN"/>
        </w:rPr>
        <w:t>选择分装后药品对应的盲态包装</w:t>
      </w:r>
      <w:r>
        <w:rPr>
          <w:rFonts w:hint="eastAsia"/>
          <w:lang w:eastAsia="zh-Hans"/>
        </w:rPr>
        <w:t>（</w:t>
      </w:r>
      <w:r>
        <w:rPr>
          <w:rFonts w:hint="default"/>
          <w:lang w:eastAsia="zh-CN"/>
        </w:rPr>
        <w:t>即设置分装后</w:t>
      </w:r>
      <w:r>
        <w:rPr>
          <w:rFonts w:hint="eastAsia"/>
          <w:lang w:val="en-US" w:eastAsia="zh-Hans"/>
        </w:rPr>
        <w:t>的</w:t>
      </w:r>
      <w:r>
        <w:rPr>
          <w:rFonts w:hint="default"/>
          <w:lang w:eastAsia="zh-CN"/>
        </w:rPr>
        <w:t>药品中，实际放置的哪些药品、和放置了多少量</w:t>
      </w:r>
      <w:r>
        <w:rPr>
          <w:rFonts w:hint="eastAsia"/>
          <w:lang w:eastAsia="zh-Hans"/>
        </w:rPr>
        <w:t>）；</w:t>
      </w:r>
      <w:r>
        <w:rPr>
          <w:rFonts w:hint="default"/>
          <w:lang w:eastAsia="zh-CN"/>
        </w:rPr>
        <w:t>如果一个药品运输到机构未分配药品编号，是个大包装，实际发放时需要提前包装成小包装，也可用分装规则，这种属于不设盲的，无需选择设盲包装</w:t>
      </w:r>
      <w:r>
        <w:rPr>
          <w:rFonts w:hint="eastAsia"/>
          <w:lang w:eastAsia="zh-Hans"/>
        </w:rPr>
        <w:t>。</w:t>
      </w:r>
    </w:p>
    <w:p>
      <w:pPr>
        <w:bidi w:val="0"/>
      </w:pPr>
      <w:r>
        <w:drawing>
          <wp:inline distT="0" distB="0" distL="114300" distR="114300">
            <wp:extent cx="5266690" cy="2198370"/>
            <wp:effectExtent l="12700" t="12700" r="29210" b="2413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83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40" w:name="_Toc1488031033"/>
      <w:bookmarkStart w:id="41" w:name="_Toc1074285243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10.4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药品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效期预警</w:t>
      </w:r>
      <w:bookmarkEnd w:id="40"/>
      <w:bookmarkEnd w:id="41"/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</w:t>
      </w:r>
      <w:r>
        <w:rPr>
          <w:rFonts w:hint="eastAsia"/>
          <w:lang w:val="en-US" w:eastAsia="zh-Hans"/>
        </w:rPr>
        <w:t>本项目在中心已过期</w:t>
      </w:r>
      <w:r>
        <w:rPr>
          <w:rFonts w:hint="default"/>
          <w:lang w:eastAsia="zh-Hans"/>
        </w:rPr>
        <w:t>/</w:t>
      </w:r>
      <w:r>
        <w:rPr>
          <w:rFonts w:hint="eastAsia"/>
          <w:lang w:val="en-US" w:eastAsia="zh-Hans"/>
        </w:rPr>
        <w:t>即将过期，且还未退回申办方的药品。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2578735"/>
            <wp:effectExtent l="12700" t="12700" r="31115" b="24765"/>
            <wp:docPr id="1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787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42" w:name="_Toc1890502316"/>
      <w:bookmarkStart w:id="43" w:name="_Toc1617058772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10.5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药品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库存预警</w:t>
      </w:r>
      <w:bookmarkEnd w:id="42"/>
      <w:bookmarkEnd w:id="43"/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Hans"/>
        </w:rPr>
        <w:t>如果该中心，设置了项目的库存预警值，则在库存不足时，会显示出库存不足的药品。</w:t>
      </w:r>
    </w:p>
    <w:p>
      <w:pPr>
        <w:pStyle w:val="3"/>
        <w:rPr>
          <w:rFonts w:hint="default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44" w:name="_Toc1651867647"/>
      <w:bookmarkStart w:id="45" w:name="_Toc1501228219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10.6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接收申请</w:t>
      </w:r>
      <w:bookmarkEnd w:id="44"/>
      <w:bookmarkEnd w:id="45"/>
    </w:p>
    <w:p>
      <w:pPr>
        <w:ind w:firstLine="420" w:firstLineChars="200"/>
      </w:pP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药品管理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-【接收申请】</w:t>
      </w:r>
      <w:r>
        <w:rPr>
          <w:rFonts w:hint="eastAsia"/>
        </w:rPr>
        <w:t>显示项目下的药品入库列表，点击【新增申请】可发起入库</w:t>
      </w:r>
      <w:r>
        <w:rPr>
          <w:rFonts w:hint="eastAsia"/>
          <w:lang w:eastAsia="zh-Hans"/>
        </w:rPr>
        <w:t>。</w:t>
      </w:r>
    </w:p>
    <w:p>
      <w:r>
        <w:drawing>
          <wp:inline distT="0" distB="0" distL="114300" distR="114300">
            <wp:extent cx="5266690" cy="1821180"/>
            <wp:effectExtent l="12700" t="12700" r="29210" b="20320"/>
            <wp:docPr id="10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"/>
                    <pic:cNvPicPr>
                      <a:picLocks noChangeAspect="1"/>
                    </pic:cNvPicPr>
                  </pic:nvPicPr>
                  <pic:blipFill>
                    <a:blip r:embed="rId72"/>
                    <a:srcRect b="273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21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>
      <w:pPr>
        <w:numPr>
          <w:ilvl w:val="0"/>
          <w:numId w:val="8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Hans"/>
        </w:rPr>
        <w:t>接收药房：选择本次全部药品先入库到哪个药房，例如有些医院规定了先入库，再转运到科室药房由研究者管理，那么此处需要选择最先接收本次药品的药房。</w:t>
      </w:r>
    </w:p>
    <w:p>
      <w:pPr>
        <w:numPr>
          <w:ilvl w:val="0"/>
          <w:numId w:val="8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Hans"/>
        </w:rPr>
        <w:t>有编号</w:t>
      </w:r>
      <w:r>
        <w:rPr>
          <w:rFonts w:hint="default"/>
          <w:lang w:eastAsia="zh-Hans"/>
        </w:rPr>
        <w:t>/</w:t>
      </w:r>
      <w:r>
        <w:rPr>
          <w:rFonts w:hint="eastAsia"/>
          <w:lang w:val="en-US" w:eastAsia="zh-Hans"/>
        </w:rPr>
        <w:t>无编号：运输过来的药品，如果已贴号，则为有编号；例如试验中用到的辅助用药，无需编号，则为无编号；</w:t>
      </w:r>
    </w:p>
    <w:p>
      <w:pPr>
        <w:numPr>
          <w:ilvl w:val="0"/>
          <w:numId w:val="8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Hans"/>
        </w:rPr>
        <w:t>是否待分装：如果药品在医院需要进行盲态二次包装，则选择“是”，能直接发放的包装则选择“否”；</w:t>
      </w:r>
    </w:p>
    <w:p>
      <w:pPr>
        <w:numPr>
          <w:ilvl w:val="0"/>
          <w:numId w:val="8"/>
        </w:numPr>
        <w:ind w:left="420" w:leftChars="0" w:hanging="420" w:firstLineChars="0"/>
      </w:pPr>
      <w:r>
        <w:rPr>
          <w:rFonts w:hint="eastAsia"/>
        </w:rPr>
        <w:t>可导入有编号药物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或者</w:t>
      </w:r>
      <w:r>
        <w:rPr>
          <w:rFonts w:hint="eastAsia"/>
        </w:rPr>
        <w:t>添加无编号药物，导入前需下载模板，并在模板内填写药物信息，上传时需将系统字段对应excel列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如图所示</w:t>
      </w:r>
      <w:r>
        <w:rPr>
          <w:rFonts w:hint="eastAsia"/>
        </w:rPr>
        <w:t>；</w:t>
      </w:r>
    </w:p>
    <w:p>
      <w:pPr>
        <w:jc w:val="both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5266690" cy="2506980"/>
            <wp:effectExtent l="12700" t="12700" r="29210" b="20320"/>
            <wp:docPr id="10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8"/>
        </w:numPr>
        <w:ind w:left="420" w:leftChars="0" w:hanging="42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映射字段：</w:t>
      </w:r>
    </w:p>
    <w:p>
      <w:pPr>
        <w:pStyle w:val="5"/>
        <w:numPr>
          <w:ilvl w:val="0"/>
          <w:numId w:val="0"/>
        </w:numPr>
        <w:ind w:left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选择表格中每一列，对应的药品信息【如果excel是系统下载的，且没修改过表头，一般是无需修改，直接下一步】</w:t>
      </w:r>
    </w:p>
    <w:p>
      <w:pPr>
        <w:pStyle w:val="5"/>
      </w:pPr>
      <w:r>
        <w:drawing>
          <wp:inline distT="0" distB="0" distL="114300" distR="114300">
            <wp:extent cx="5259070" cy="2345690"/>
            <wp:effectExtent l="12700" t="12700" r="36830" b="29210"/>
            <wp:docPr id="10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3456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8"/>
        </w:numPr>
        <w:ind w:left="420" w:leftChars="0" w:hanging="42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映射药物：</w:t>
      </w:r>
    </w:p>
    <w:p>
      <w:pPr>
        <w:pStyle w:val="5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选择表格中输入的药物名称，对应系统中已备案的药品、以及本次的入库单位【入库单位即为后续的发放单位，请谨慎选择，一般是最小包装】</w:t>
      </w:r>
    </w:p>
    <w:p>
      <w:pPr>
        <w:jc w:val="both"/>
      </w:pPr>
      <w:r>
        <w:drawing>
          <wp:inline distT="0" distB="0" distL="114300" distR="114300">
            <wp:extent cx="5271135" cy="1714500"/>
            <wp:effectExtent l="12700" t="12700" r="24765" b="25400"/>
            <wp:docPr id="10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14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8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Hans"/>
        </w:rPr>
        <w:t>提交申请：确认无误后提交药品管理员进行核对。</w:t>
      </w:r>
    </w:p>
    <w:p>
      <w:pPr>
        <w:pStyle w:val="5"/>
        <w:numPr>
          <w:ilvl w:val="0"/>
          <w:numId w:val="8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Hans"/>
        </w:rPr>
        <w:t>处理核对不通过的：点击【复制】快速重新提交申请</w:t>
      </w:r>
    </w:p>
    <w:p>
      <w:pPr>
        <w:pStyle w:val="5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1824990"/>
            <wp:effectExtent l="12700" t="12700" r="31115" b="16510"/>
            <wp:docPr id="10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249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46" w:name="_Toc270954713"/>
      <w:bookmarkStart w:id="47" w:name="_Toc357308130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10.7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退回申办者</w:t>
      </w:r>
      <w:bookmarkEnd w:id="46"/>
      <w:bookmarkEnd w:id="4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【药品管理】-【退回申办者】，</w:t>
      </w:r>
      <w:r>
        <w:rPr>
          <w:rFonts w:hint="eastAsia"/>
          <w:lang w:val="en-US" w:eastAsia="zh-Hans"/>
        </w:rPr>
        <w:t>填写中心需要</w:t>
      </w:r>
      <w:r>
        <w:rPr>
          <w:rFonts w:hint="eastAsia"/>
          <w:lang w:val="en-US" w:eastAsia="zh-CN"/>
        </w:rPr>
        <w:t>退回给申办方的药品</w:t>
      </w:r>
      <w:r>
        <w:rPr>
          <w:rFonts w:hint="eastAsia"/>
          <w:lang w:val="en-US" w:eastAsia="zh-Hans"/>
        </w:rPr>
        <w:t>、空包装。</w:t>
      </w:r>
    </w:p>
    <w:p>
      <w:r>
        <w:drawing>
          <wp:inline distT="0" distB="0" distL="114300" distR="114300">
            <wp:extent cx="5257800" cy="1628775"/>
            <wp:effectExtent l="12700" t="12700" r="12700" b="34925"/>
            <wp:docPr id="1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28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点击【新增退回单】，选择退回药品的库房。</w:t>
      </w:r>
    </w:p>
    <w:p>
      <w:pPr>
        <w:pStyle w:val="5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57800" cy="1628775"/>
            <wp:effectExtent l="12700" t="12700" r="12700" b="34925"/>
            <wp:docPr id="10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28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选择需要退回的药品、空包装，确认无误后，点击【提交】，等待中心药品管理员审核。</w:t>
      </w:r>
    </w:p>
    <w:p>
      <w:pPr>
        <w:pStyle w:val="5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55260" cy="2970530"/>
            <wp:effectExtent l="12700" t="12700" r="15240" b="13970"/>
            <wp:docPr id="1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970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48" w:name="_Toc1270529751"/>
      <w:bookmarkStart w:id="49" w:name="_Toc913463898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CN"/>
          <w14:textFill>
            <w14:solidFill>
              <w14:schemeClr w14:val="tx2"/>
            </w14:solidFill>
          </w14:textFill>
        </w:rPr>
        <w:t>10.8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出入库和回收记录</w:t>
      </w:r>
      <w:bookmarkEnd w:id="48"/>
      <w:bookmarkEnd w:id="49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可查看出入库和回收过的药品信息，并可导出相关表格。</w:t>
      </w:r>
    </w:p>
    <w:p>
      <w:r>
        <w:drawing>
          <wp:inline distT="0" distB="0" distL="114300" distR="114300">
            <wp:extent cx="5266690" cy="2506980"/>
            <wp:effectExtent l="0" t="0" r="16510" b="7620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left="0" w:leftChars="0" w:firstLine="0" w:firstLineChars="0"/>
        <w:textAlignment w:val="auto"/>
        <w:rPr>
          <w:rFonts w:hint="default" w:ascii="宋体" w:hAnsi="宋体" w:eastAsia="宋体" w:cs="宋体"/>
          <w:b/>
          <w:bCs/>
          <w:color w:val="42536C"/>
          <w:szCs w:val="21"/>
          <w:lang w:val="en-US"/>
        </w:rPr>
      </w:pPr>
      <w:bookmarkStart w:id="50" w:name="_Toc1363622936"/>
      <w:bookmarkStart w:id="51" w:name="_Toc227141283"/>
      <w:r>
        <w:rPr>
          <w:rFonts w:hint="default" w:ascii="宋体" w:hAnsi="宋体" w:eastAsia="宋体" w:cs="宋体"/>
          <w:color w:val="42536C"/>
          <w:sz w:val="21"/>
          <w:szCs w:val="21"/>
          <w:lang w:eastAsia="zh-Hans"/>
        </w:rPr>
        <w:t>10.9</w:t>
      </w:r>
      <w:r>
        <w:rPr>
          <w:rFonts w:hint="eastAsia" w:ascii="宋体" w:hAnsi="宋体" w:eastAsia="宋体" w:cs="宋体"/>
          <w:color w:val="42536C"/>
          <w:sz w:val="21"/>
          <w:szCs w:val="21"/>
          <w:lang w:val="en-US" w:eastAsia="zh-Hans"/>
        </w:rPr>
        <w:t>药品回收（非盲角色）</w:t>
      </w:r>
      <w:bookmarkEnd w:id="50"/>
      <w:bookmarkEnd w:id="51"/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both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已发放的药品，则可在此处填写药品回收的详情</w:t>
      </w:r>
      <w:r>
        <w:rPr>
          <w:rFonts w:hint="eastAsia" w:ascii="宋体" w:hAnsi="宋体" w:eastAsia="宋体" w:cs="宋体"/>
          <w:lang w:val="en-US" w:eastAsia="zh-CN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center"/>
        <w:textAlignment w:val="auto"/>
      </w:pPr>
      <w:r>
        <w:drawing>
          <wp:inline distT="0" distB="0" distL="114300" distR="114300">
            <wp:extent cx="5255260" cy="1322070"/>
            <wp:effectExtent l="12700" t="12700" r="15240" b="36830"/>
            <wp:docPr id="11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1322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left"/>
        <w:textAlignment w:val="auto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选中【全部回收单】，则可查看已回收</w:t>
      </w:r>
      <w:r>
        <w:rPr>
          <w:rFonts w:hint="default"/>
          <w:lang w:eastAsia="zh-Hans"/>
        </w:rPr>
        <w:t>+</w:t>
      </w:r>
      <w:r>
        <w:rPr>
          <w:rFonts w:hint="eastAsia"/>
          <w:lang w:val="en-US" w:eastAsia="zh-Hans"/>
        </w:rPr>
        <w:t>待回收的，默认只显示待回收的。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left"/>
        <w:textAlignment w:val="auto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【回收】填写回收人等信息、药品的回收信息、空包装的回收信息，如果回收的药品可回收后再次利用、再次下发，则【是否能用于下次发放】选择【是】；如有回收时的补充说明，请填写在【回收备注】中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left"/>
        <w:textAlignment w:val="auto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点击【提交】便将回收信息提交给库房的药品管理员核实，故而请在提交后，尽快将实际回收的药品和空包装运往库房。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left"/>
        <w:textAlignment w:val="auto"/>
        <w:rPr>
          <w:rFonts w:hint="eastAsia"/>
          <w:color w:val="C00000"/>
          <w:lang w:val="en-US" w:eastAsia="zh-Hans"/>
        </w:rPr>
      </w:pPr>
      <w:r>
        <w:rPr>
          <w:rFonts w:hint="eastAsia"/>
          <w:color w:val="C00000"/>
          <w:lang w:val="en-US" w:eastAsia="zh-Hans"/>
        </w:rPr>
        <w:t>注意</w:t>
      </w:r>
      <w:r>
        <w:rPr>
          <w:rFonts w:hint="default"/>
          <w:color w:val="C00000"/>
          <w:lang w:eastAsia="zh-Hans"/>
        </w:rPr>
        <w:t xml:space="preserve"> </w:t>
      </w:r>
      <w:r>
        <w:rPr>
          <w:rFonts w:hint="eastAsia"/>
          <w:color w:val="C00000"/>
          <w:lang w:eastAsia="zh-Hans"/>
        </w:rPr>
        <w:t>：</w:t>
      </w:r>
      <w:r>
        <w:rPr>
          <w:rFonts w:hint="eastAsia"/>
          <w:color w:val="C00000"/>
          <w:lang w:val="en-US" w:eastAsia="zh-Hans"/>
        </w:rPr>
        <w:t>一旦提交后，正常情况下不可再次填写回收，故而如果受试者未能一次性将回收物交回，请在收集全部回收物后提交，每次回收的日期和详情可在【回收备注】中描述。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360" w:lineRule="auto"/>
        <w:ind w:firstLine="420" w:firstLineChars="200"/>
        <w:jc w:val="left"/>
        <w:textAlignment w:val="auto"/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drawing>
          <wp:inline distT="0" distB="0" distL="114300" distR="114300">
            <wp:extent cx="5256530" cy="1622425"/>
            <wp:effectExtent l="12700" t="12700" r="13970" b="15875"/>
            <wp:docPr id="11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22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outlineLvl w:val="0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52" w:name="_Toc1485102662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11.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质控整改</w:t>
      </w:r>
      <w:bookmarkEnd w:id="52"/>
    </w:p>
    <w:p>
      <w:pPr>
        <w:rPr>
          <w:rFonts w:hint="eastAsia"/>
        </w:rPr>
      </w:pPr>
      <w:r>
        <w:rPr>
          <w:rFonts w:hint="eastAsia"/>
        </w:rPr>
        <w:t>如图7-4-1所示，【项目实施】→【质控整改】，显示本项目质控过程中，下发给申办方的质控问题</w:t>
      </w:r>
      <w:r>
        <w:rPr>
          <w:rFonts w:hint="eastAsia"/>
          <w:lang w:eastAsia="zh-Hans"/>
        </w:rPr>
        <w:t>；</w:t>
      </w:r>
    </w:p>
    <w:p>
      <w:pPr>
        <w:numPr>
          <w:ilvl w:val="0"/>
          <w:numId w:val="3"/>
        </w:numPr>
        <w:ind w:left="420" w:leftChars="0" w:hanging="420" w:firstLineChars="0"/>
      </w:pPr>
      <w:r>
        <w:rPr>
          <w:rFonts w:hint="eastAsia"/>
        </w:rPr>
        <w:t>当前用户为质控处理人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则</w:t>
      </w:r>
      <w:r>
        <w:rPr>
          <w:rFonts w:hint="eastAsia"/>
        </w:rPr>
        <w:t>可以处理质控问题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然后提交给问题负责人签字；</w:t>
      </w:r>
    </w:p>
    <w:p>
      <w:pPr>
        <w:numPr>
          <w:ilvl w:val="0"/>
          <w:numId w:val="3"/>
        </w:numPr>
        <w:ind w:left="420" w:leftChars="0" w:hanging="420" w:firstLineChars="0"/>
      </w:pPr>
      <w:r>
        <w:rPr>
          <w:rFonts w:hint="eastAsia"/>
        </w:rPr>
        <w:t>当前用户为质控负责人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则</w:t>
      </w:r>
      <w:r>
        <w:rPr>
          <w:rFonts w:hint="eastAsia"/>
        </w:rPr>
        <w:t>可分配</w:t>
      </w:r>
      <w:r>
        <w:rPr>
          <w:rFonts w:hint="eastAsia"/>
          <w:lang w:val="en-US" w:eastAsia="zh-Hans"/>
        </w:rPr>
        <w:t>其他人</w:t>
      </w:r>
      <w:r>
        <w:rPr>
          <w:rFonts w:hint="eastAsia"/>
        </w:rPr>
        <w:t>处理</w:t>
      </w:r>
      <w:r>
        <w:rPr>
          <w:rFonts w:hint="eastAsia"/>
          <w:lang w:val="en-US" w:eastAsia="zh-Hans"/>
        </w:rPr>
        <w:t>问题，也可直接签字处理；</w:t>
      </w:r>
    </w:p>
    <w:p>
      <w:r>
        <w:drawing>
          <wp:inline distT="0" distB="0" distL="0" distR="0">
            <wp:extent cx="5274310" cy="1923415"/>
            <wp:effectExtent l="12700" t="12700" r="21590" b="196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34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图7-4-1</w:t>
      </w:r>
    </w:p>
    <w:p>
      <w:pPr>
        <w:jc w:val="center"/>
      </w:pPr>
    </w:p>
    <w:p>
      <w:pPr>
        <w:pStyle w:val="2"/>
        <w:outlineLvl w:val="0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53" w:name="_Toc2065494800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12.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资料变更备案</w:t>
      </w:r>
      <w:bookmarkEnd w:id="53"/>
    </w:p>
    <w:p>
      <w:r>
        <w:rPr>
          <w:rFonts w:hint="eastAsia"/>
        </w:rPr>
        <w:t>如图7-5-1所示，【项目实施】→【资料变更备案】，显示项目下补充/更新的文件列表，点击【新增变更记录】可发起文件的补充/更新，机构如果已设置审核流程，则提交后，需等待机构审核，机构还未审核前可撤回修改后再提交；</w:t>
      </w:r>
    </w:p>
    <w:p>
      <w:r>
        <w:drawing>
          <wp:inline distT="0" distB="0" distL="0" distR="0">
            <wp:extent cx="5274310" cy="2239645"/>
            <wp:effectExtent l="12700" t="12700" r="21590" b="3365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96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图7-5-1</w:t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选择本次需要变更的事项，以及已经审核通过的文件，或需要补充的文件所属大类，然后上传新的文件，提交审核。</w:t>
      </w:r>
    </w:p>
    <w:p>
      <w:pPr>
        <w:jc w:val="left"/>
      </w:pPr>
      <w:r>
        <w:drawing>
          <wp:inline distT="0" distB="0" distL="114300" distR="114300">
            <wp:extent cx="5265420" cy="2999105"/>
            <wp:effectExtent l="12700" t="12700" r="30480" b="36195"/>
            <wp:docPr id="1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99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62245" cy="2985135"/>
            <wp:effectExtent l="12700" t="12700" r="33655" b="24765"/>
            <wp:docPr id="1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85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9"/>
        </w:numPr>
        <w:tabs>
          <w:tab w:val="left" w:pos="312"/>
        </w:tabs>
        <w:spacing w:before="156" w:beforeLines="50" w:after="156" w:afterLines="50" w:line="360" w:lineRule="auto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54" w:name="_Toc697949845"/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伦理递交</w:t>
      </w:r>
      <w:bookmarkEnd w:id="54"/>
    </w:p>
    <w:p>
      <w:pPr>
        <w:pStyle w:val="3"/>
        <w:numPr>
          <w:numId w:val="0"/>
        </w:numPr>
        <w:tabs>
          <w:tab w:val="left" w:pos="312"/>
        </w:tabs>
        <w:spacing w:before="156" w:beforeLines="50" w:after="156" w:afterLines="50" w:line="360" w:lineRule="auto"/>
        <w:outlineLvl w:val="1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55" w:name="_Toc887365001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13.1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递交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新伦理</w:t>
      </w:r>
      <w:bookmarkEnd w:id="55"/>
    </w:p>
    <w:p>
      <w:pPr>
        <w:rPr>
          <w:rFonts w:hint="eastAsia"/>
          <w:lang w:val="en-US" w:eastAsia="zh-CN"/>
        </w:rPr>
      </w:pPr>
      <w:r>
        <w:rPr>
          <w:rFonts w:hint="eastAsia"/>
        </w:rPr>
        <w:t>如图9-1所示，显示项目下不同审查类型的伦理递交列表，点击【新增】可新增伦理递交，</w:t>
      </w:r>
      <w:r>
        <w:rPr>
          <w:rFonts w:hint="eastAsia"/>
          <w:lang w:val="en-US" w:eastAsia="zh-Hans"/>
        </w:rPr>
        <w:t>其中，</w:t>
      </w:r>
      <w:r>
        <w:rPr>
          <w:rFonts w:hint="eastAsia"/>
        </w:rPr>
        <w:t>伦理初始审查递交与项目启动下的伦理初始审查递交同步；</w:t>
      </w:r>
    </w:p>
    <w:p>
      <w:pPr>
        <w:numPr>
          <w:ilvl w:val="0"/>
          <w:numId w:val="3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如果已经递交初始审查，初始审查</w:t>
      </w:r>
      <w:r>
        <w:rPr>
          <w:rFonts w:hint="eastAsia"/>
          <w:lang w:val="en-US" w:eastAsia="zh-Hans"/>
        </w:rPr>
        <w:t>未通过</w:t>
      </w:r>
      <w:r>
        <w:rPr>
          <w:rFonts w:hint="eastAsia"/>
          <w:lang w:val="en-US" w:eastAsia="zh-CN"/>
        </w:rPr>
        <w:t>的情况下，无法新增跟踪审查</w:t>
      </w:r>
    </w:p>
    <w:p>
      <w:pPr>
        <w:numPr>
          <w:ilvl w:val="0"/>
          <w:numId w:val="3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如果未递交初始审查</w:t>
      </w:r>
      <w:r>
        <w:rPr>
          <w:rFonts w:hint="eastAsia"/>
          <w:lang w:val="en-US" w:eastAsia="zh-Hans"/>
        </w:rPr>
        <w:t>或初始审查已通过</w:t>
      </w:r>
      <w:r>
        <w:rPr>
          <w:rFonts w:hint="eastAsia"/>
          <w:lang w:val="en-US" w:eastAsia="zh-CN"/>
        </w:rPr>
        <w:t>，</w:t>
      </w:r>
      <w:r>
        <w:rPr>
          <w:rFonts w:hint="eastAsia"/>
          <w:lang w:val="en-US" w:eastAsia="zh-Hans"/>
        </w:rPr>
        <w:t>则</w:t>
      </w:r>
      <w:r>
        <w:rPr>
          <w:rFonts w:hint="eastAsia"/>
          <w:lang w:val="en-US" w:eastAsia="zh-CN"/>
        </w:rPr>
        <w:t>可随时新增跟踪审查；</w:t>
      </w:r>
    </w:p>
    <w:p>
      <w:r>
        <w:drawing>
          <wp:inline distT="0" distB="0" distL="0" distR="0">
            <wp:extent cx="5274310" cy="2330450"/>
            <wp:effectExtent l="12700" t="12700" r="21590" b="1905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04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图9-1</w:t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根据需要填写表单、上传文件；</w:t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根据文件要求上传文件，如果提供</w:t>
      </w:r>
      <w:r>
        <w:rPr>
          <w:rFonts w:hint="eastAsia" w:ascii="宋体" w:hAnsi="宋体" w:eastAsia="宋体" w:cs="宋体"/>
          <w:szCs w:val="21"/>
          <w:lang w:val="en-US" w:eastAsia="zh-Hans"/>
        </w:rPr>
        <w:t>了</w:t>
      </w:r>
      <w:r>
        <w:rPr>
          <w:rFonts w:hint="eastAsia" w:ascii="宋体" w:hAnsi="宋体" w:eastAsia="宋体" w:cs="宋体"/>
          <w:szCs w:val="21"/>
        </w:rPr>
        <w:t>文件模板，请下载文件模板，在模板中填写内容后上传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如果文件类型下无对应</w:t>
      </w:r>
      <w:r>
        <w:rPr>
          <w:rFonts w:hint="eastAsia" w:ascii="宋体" w:hAnsi="宋体" w:eastAsia="宋体" w:cs="宋体"/>
          <w:szCs w:val="21"/>
          <w:lang w:val="en-US" w:eastAsia="zh-Hans"/>
        </w:rPr>
        <w:t>的</w:t>
      </w:r>
      <w:r>
        <w:rPr>
          <w:rFonts w:hint="eastAsia" w:ascii="宋体" w:hAnsi="宋体" w:eastAsia="宋体" w:cs="宋体"/>
          <w:szCs w:val="21"/>
        </w:rPr>
        <w:t>文件</w:t>
      </w:r>
      <w:r>
        <w:rPr>
          <w:rFonts w:hint="eastAsia" w:ascii="宋体" w:hAnsi="宋体" w:eastAsia="宋体" w:cs="宋体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Cs w:val="21"/>
        </w:rPr>
        <w:t>上传</w:t>
      </w:r>
      <w:r>
        <w:rPr>
          <w:rFonts w:hint="eastAsia" w:ascii="宋体" w:hAnsi="宋体" w:eastAsia="宋体" w:cs="宋体"/>
          <w:szCs w:val="21"/>
          <w:lang w:val="en-US" w:eastAsia="zh-Hans"/>
        </w:rPr>
        <w:t>时</w:t>
      </w:r>
      <w:r>
        <w:rPr>
          <w:rFonts w:hint="eastAsia" w:ascii="宋体" w:hAnsi="宋体" w:eastAsia="宋体" w:cs="宋体"/>
          <w:szCs w:val="21"/>
        </w:rPr>
        <w:t>可</w:t>
      </w:r>
      <w:r>
        <w:rPr>
          <w:rFonts w:hint="eastAsia" w:ascii="宋体" w:hAnsi="宋体" w:eastAsia="宋体" w:cs="宋体"/>
          <w:szCs w:val="21"/>
          <w:lang w:val="en-US" w:eastAsia="zh-Hans"/>
        </w:rPr>
        <w:t>点击【新文件】，然后选择【不适用】</w:t>
      </w:r>
      <w:r>
        <w:rPr>
          <w:rFonts w:hint="eastAsia" w:ascii="宋体" w:hAnsi="宋体" w:eastAsia="宋体" w:cs="宋体"/>
          <w:szCs w:val="21"/>
        </w:rPr>
        <w:t>并填写未上传原因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16"/>
        <w:widowControl w:val="0"/>
        <w:numPr>
          <w:ilvl w:val="0"/>
          <w:numId w:val="0"/>
        </w:numPr>
        <w:spacing w:before="156" w:beforeLines="50" w:after="156" w:afterLines="50" w:line="240" w:lineRule="auto"/>
        <w:jc w:val="both"/>
        <w:rPr>
          <w:rFonts w:ascii="宋体" w:hAnsi="宋体" w:eastAsia="宋体" w:cs="宋体"/>
          <w:szCs w:val="21"/>
        </w:rPr>
      </w:pPr>
      <w:r>
        <w:drawing>
          <wp:inline distT="0" distB="0" distL="114300" distR="114300">
            <wp:extent cx="5265420" cy="2708275"/>
            <wp:effectExtent l="0" t="0" r="17780" b="9525"/>
            <wp:docPr id="1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rcRect t="56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08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lang w:val="en-US" w:eastAsia="zh-Hans"/>
        </w:rPr>
        <w:t>如果文件的版本日期不精确到具体的日期，请勾选【版本日期只有年月】</w:t>
      </w:r>
    </w:p>
    <w:p>
      <w:pPr>
        <w:pStyle w:val="16"/>
        <w:numPr>
          <w:ilvl w:val="0"/>
          <w:numId w:val="0"/>
        </w:numPr>
        <w:spacing w:before="156" w:beforeLines="50" w:after="156" w:afterLines="50" w:line="240" w:lineRule="auto"/>
        <w:ind w:leftChars="0"/>
        <w:rPr>
          <w:rFonts w:ascii="宋体" w:hAnsi="宋体" w:eastAsia="宋体" w:cs="宋体"/>
          <w:szCs w:val="21"/>
        </w:rPr>
      </w:pPr>
      <w:r>
        <w:drawing>
          <wp:inline distT="0" distB="0" distL="114300" distR="114300">
            <wp:extent cx="3876040" cy="3924300"/>
            <wp:effectExtent l="12700" t="12700" r="22860" b="25400"/>
            <wp:docPr id="1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76040" cy="3924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6"/>
        <w:numPr>
          <w:ilvl w:val="0"/>
          <w:numId w:val="3"/>
        </w:numPr>
        <w:spacing w:before="156" w:beforeLines="50" w:after="156" w:afterLines="50" w:line="240" w:lineRule="auto"/>
        <w:ind w:left="420" w:leftChars="0" w:hanging="420" w:firstLineChars="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提交前请查看页面最后的整体要求，根据要求</w:t>
      </w:r>
      <w:r>
        <w:rPr>
          <w:rFonts w:hint="eastAsia" w:ascii="宋体" w:hAnsi="宋体" w:eastAsia="宋体" w:cs="宋体"/>
          <w:szCs w:val="21"/>
          <w:lang w:val="en-US" w:eastAsia="zh-Hans"/>
        </w:rPr>
        <w:t>自查</w:t>
      </w:r>
      <w:r>
        <w:rPr>
          <w:rFonts w:hint="eastAsia" w:ascii="宋体" w:hAnsi="宋体" w:eastAsia="宋体" w:cs="宋体"/>
          <w:szCs w:val="21"/>
          <w:lang w:eastAsia="zh-Hans"/>
        </w:rPr>
        <w:t>；</w:t>
      </w:r>
    </w:p>
    <w:p>
      <w:pPr>
        <w:pStyle w:val="3"/>
        <w:tabs>
          <w:tab w:val="left" w:pos="312"/>
        </w:tabs>
        <w:spacing w:before="156" w:beforeLines="50" w:after="156" w:afterLines="50" w:line="360" w:lineRule="auto"/>
        <w:outlineLvl w:val="1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56" w:name="_Toc1817127039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13.2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处理被驳回的项目材料</w:t>
      </w:r>
      <w:bookmarkEnd w:id="56"/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如果伦理审查过程中被驳回，点击原递交后的【编辑】按键，进入修改页面。</w:t>
      </w: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5269865" cy="1542415"/>
            <wp:effectExtent l="12700" t="12700" r="26035" b="19685"/>
            <wp:docPr id="1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42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修改申请时，可查看审核人对文件的批注、给的审核意见。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PDF、图片文件，可点击文件前的批注数量，查看批注内容；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如果是word文件，还可能有在线编辑痕迹；点击文件名称可查看内容以及机构在线修改的痕迹；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如果文件需要修改，请点击单个文件的【修改】，更换为修改后的文件；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误传不需要的文件，则可点击【删除】</w:t>
      </w:r>
    </w:p>
    <w:p>
      <w:pPr>
        <w:jc w:val="left"/>
      </w:pPr>
      <w:r>
        <w:drawing>
          <wp:inline distT="0" distB="0" distL="114300" distR="114300">
            <wp:extent cx="5261610" cy="2595245"/>
            <wp:effectExtent l="12700" t="12700" r="34290" b="33655"/>
            <wp:docPr id="1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rcRect t="1224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95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73040" cy="1188720"/>
            <wp:effectExtent l="12700" t="12700" r="22860" b="17780"/>
            <wp:docPr id="1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88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312"/>
        </w:tabs>
        <w:spacing w:before="156" w:beforeLines="50" w:after="156" w:afterLines="50" w:line="360" w:lineRule="auto"/>
        <w:outlineLvl w:val="1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57" w:name="_Toc1089200486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13.3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发起复审</w:t>
      </w:r>
      <w:bookmarkEnd w:id="57"/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如果伦理最终未获得通过，按伦理委员会要求需要重新递交，则在原递交后点击【发起复审】。</w:t>
      </w:r>
    </w:p>
    <w:p>
      <w:pPr>
        <w:numPr>
          <w:ilvl w:val="0"/>
          <w:numId w:val="3"/>
        </w:numPr>
        <w:ind w:left="420" w:leftChars="0" w:hanging="42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复审发起后，发起人需要负责完成复审资料提交，中途换人无法自行操作，如需换人，请拨打客服电话或发送邮件申请换人</w:t>
      </w:r>
    </w:p>
    <w:p>
      <w:r>
        <w:drawing>
          <wp:inline distT="0" distB="0" distL="114300" distR="114300">
            <wp:extent cx="5274310" cy="1501775"/>
            <wp:effectExtent l="12700" t="12700" r="21590" b="34925"/>
            <wp:docPr id="1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1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 w:leftChars="0" w:hanging="42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发起复审时，先检查是否有初审的材料要更新，</w:t>
      </w:r>
      <w:r>
        <w:rPr>
          <w:rFonts w:hint="default"/>
          <w:lang w:eastAsia="zh-Hans"/>
        </w:rPr>
        <w:t xml:space="preserve"> </w:t>
      </w:r>
      <w:r>
        <w:rPr>
          <w:rFonts w:hint="eastAsia"/>
          <w:lang w:val="en-US" w:eastAsia="zh-Hans"/>
        </w:rPr>
        <w:t>需要更新的，请在下方的初审文件中，选择【更新】；若无初审文件需要更新的，则上传复审要求的文件【每个医院复审材料有所不同，请按照医院要求完成材料递交】。</w:t>
      </w:r>
    </w:p>
    <w:p>
      <w:pPr>
        <w:numPr>
          <w:ilvl w:val="0"/>
          <w:numId w:val="3"/>
        </w:numPr>
        <w:ind w:left="420" w:leftChars="0" w:hanging="42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表单、文件均完成的，便可提交复审。</w:t>
      </w: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5262245" cy="2739390"/>
            <wp:effectExtent l="12700" t="12700" r="33655" b="16510"/>
            <wp:docPr id="12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393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</w:rPr>
      </w:pPr>
    </w:p>
    <w:p>
      <w:pPr>
        <w:pStyle w:val="2"/>
        <w:numPr>
          <w:ilvl w:val="0"/>
          <w:numId w:val="10"/>
        </w:numPr>
        <w:spacing w:before="156" w:beforeLines="50" w:after="156" w:afterLines="50" w:line="360" w:lineRule="auto"/>
        <w:outlineLvl w:val="0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58" w:name="_Toc1041961174"/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人遗审查</w:t>
      </w:r>
      <w:bookmarkEnd w:id="58"/>
    </w:p>
    <w:p>
      <w:pPr>
        <w:pStyle w:val="3"/>
        <w:numPr>
          <w:numId w:val="0"/>
        </w:numPr>
        <w:spacing w:before="156" w:beforeLines="50" w:after="156" w:afterLines="50" w:line="360" w:lineRule="auto"/>
        <w:outlineLvl w:val="1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59" w:name="_Toc1659793780"/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14.1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申请承诺书</w:t>
      </w:r>
      <w:bookmarkEnd w:id="59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Chars="0" w:right="0" w:right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  <w:t>如图所示，</w:t>
      </w: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根据医院设定的人遗流程，申办方端可以出现人遗审查的功能，以下为案例说明模板；</w:t>
      </w:r>
    </w:p>
    <w:p>
      <w:pPr>
        <w:keepNext w:val="0"/>
        <w:keepLines w:val="0"/>
        <w:widowControl w:val="0"/>
        <w:numPr>
          <w:ilvl w:val="0"/>
          <w:numId w:val="11"/>
        </w:numPr>
        <w:suppressLineNumbers w:val="0"/>
        <w:spacing w:before="0" w:beforeAutospacing="0" w:after="0" w:afterAutospacing="0" w:line="360" w:lineRule="auto"/>
        <w:ind w:left="420" w:leftChars="0" w:right="0" w:rightChars="0" w:hanging="420" w:firstLine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点击【新增】，可发起一次新的申请，申请时需要填写的表、上传的文件，根据医院SOP配置</w:t>
      </w:r>
    </w:p>
    <w:p>
      <w:pPr>
        <w:keepNext w:val="0"/>
        <w:keepLines w:val="0"/>
        <w:widowControl w:val="0"/>
        <w:numPr>
          <w:ilvl w:val="0"/>
          <w:numId w:val="11"/>
        </w:numPr>
        <w:suppressLineNumbers w:val="0"/>
        <w:spacing w:before="0" w:beforeAutospacing="0" w:after="0" w:afterAutospacing="0" w:line="360" w:lineRule="auto"/>
        <w:ind w:left="420" w:leftChars="0" w:right="0" w:rightChars="0" w:hanging="420" w:firstLine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是否需要审核，审核人为哪些人员，根据医院SOP配置</w:t>
      </w:r>
    </w:p>
    <w:p>
      <w:r>
        <w:drawing>
          <wp:inline distT="0" distB="0" distL="114300" distR="114300">
            <wp:extent cx="5449570" cy="1532255"/>
            <wp:effectExtent l="12700" t="12700" r="24130" b="29845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49570" cy="1532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Chars="0" w:right="0" w:right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如图所示，在申请提交后，申办方可查看到承诺书的下发和领取情况。</w:t>
      </w:r>
    </w:p>
    <w:p>
      <w:pPr>
        <w:jc w:val="center"/>
        <w:rPr>
          <w:rFonts w:hint="eastAsia"/>
          <w:lang w:eastAsia="zh-Hans"/>
        </w:rPr>
      </w:pPr>
      <w:r>
        <w:drawing>
          <wp:inline distT="0" distB="0" distL="114300" distR="114300">
            <wp:extent cx="5388610" cy="2419985"/>
            <wp:effectExtent l="12700" t="12700" r="34290" b="31115"/>
            <wp:docPr id="4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24199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60" w:name="_Toc341485930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14.2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人遗审查结果备案</w:t>
      </w:r>
      <w:bookmarkEnd w:id="60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right="0" w:right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  <w:t>如图所示，</w:t>
      </w: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承诺书审核通过后，自动出现一个待填写的备案记录【自动出现，需要配置中提前设置好，否则只能自己新增】</w:t>
      </w:r>
    </w:p>
    <w:p>
      <w:pPr>
        <w:keepNext w:val="0"/>
        <w:keepLines w:val="0"/>
        <w:widowControl w:val="0"/>
        <w:numPr>
          <w:ilvl w:val="0"/>
          <w:numId w:val="11"/>
        </w:numPr>
        <w:suppressLineNumbers w:val="0"/>
        <w:spacing w:before="0" w:beforeAutospacing="0" w:after="0" w:afterAutospacing="0" w:line="360" w:lineRule="auto"/>
        <w:ind w:left="420" w:leftChars="0" w:right="0" w:rightChars="0" w:hanging="420" w:firstLine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如果医院无申请承诺书流程，或已申请过承诺书只需要补充登记批件情况，可点【新增】填写批件获得情况</w:t>
      </w:r>
    </w:p>
    <w:p>
      <w:pPr>
        <w:keepNext w:val="0"/>
        <w:keepLines w:val="0"/>
        <w:widowControl w:val="0"/>
        <w:numPr>
          <w:ilvl w:val="0"/>
          <w:numId w:val="11"/>
        </w:numPr>
        <w:suppressLineNumbers w:val="0"/>
        <w:spacing w:before="0" w:beforeAutospacing="0" w:after="0" w:afterAutospacing="0" w:line="360" w:lineRule="auto"/>
        <w:ind w:left="420" w:leftChars="0" w:right="0" w:rightChars="0" w:hanging="420" w:firstLine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自动从其他地方，同步过来的待登记批件情况，是不可被删除的，如下图，只可编辑</w:t>
      </w:r>
    </w:p>
    <w:p>
      <w:pPr>
        <w:keepNext w:val="0"/>
        <w:keepLines w:val="0"/>
        <w:widowControl w:val="0"/>
        <w:numPr>
          <w:ilvl w:val="0"/>
          <w:numId w:val="11"/>
        </w:numPr>
        <w:suppressLineNumbers w:val="0"/>
        <w:spacing w:before="0" w:beforeAutospacing="0" w:after="0" w:afterAutospacing="0" w:line="360" w:lineRule="auto"/>
        <w:ind w:left="420" w:leftChars="0" w:right="0" w:rightChars="0" w:hanging="420" w:firstLine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Hans" w:bidi="ar"/>
        </w:rPr>
        <w:t>是否需要审核，审核人为哪些人员，根据医院SOP配置</w:t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Chars="0" w:right="0" w:rightChars="0"/>
        <w:jc w:val="left"/>
        <w:rPr>
          <w:rFonts w:hint="eastAsia" w:ascii="微软雅黑" w:hAnsi="微软雅黑" w:eastAsia="微软雅黑" w:cs="Arial"/>
          <w:color w:val="333333"/>
          <w:kern w:val="2"/>
          <w:sz w:val="18"/>
          <w:szCs w:val="18"/>
          <w:shd w:val="clear" w:fill="FFFFFF"/>
          <w:lang w:val="en-US" w:eastAsia="zh-CN" w:bidi="ar"/>
        </w:rPr>
      </w:pPr>
      <w:r>
        <w:drawing>
          <wp:inline distT="0" distB="0" distL="114300" distR="114300">
            <wp:extent cx="5744210" cy="1348105"/>
            <wp:effectExtent l="12700" t="12700" r="34290" b="36195"/>
            <wp:docPr id="4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1348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61" w:name="_Toc1277720726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.经费管理</w:t>
      </w:r>
      <w:bookmarkEnd w:id="61"/>
    </w:p>
    <w:p>
      <w:pPr>
        <w:pStyle w:val="3"/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62" w:name="_Toc34933590"/>
      <w:bookmarkStart w:id="63" w:name="_Toc1963255529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.1</w:t>
      </w:r>
      <w:bookmarkEnd w:id="62"/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上传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合同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草案</w:t>
      </w:r>
      <w:bookmarkEnd w:id="63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ind w:firstLine="420" w:firstLineChars="200"/>
      </w:pPr>
      <w:r>
        <w:rPr>
          <w:rFonts w:hint="eastAsia"/>
        </w:rPr>
        <w:t>如图10-1-1所示，【经费管理】→【中心合同】，显示项目下的合同草案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合同正本</w:t>
      </w:r>
      <w:r>
        <w:rPr>
          <w:rFonts w:hint="eastAsia"/>
        </w:rPr>
        <w:t>列表，已提交未开始审核的合同可撤回，点击【新增草案】</w:t>
      </w:r>
      <w:r>
        <w:rPr>
          <w:rFonts w:hint="eastAsia"/>
          <w:lang w:eastAsia="zh-Hans"/>
        </w:rPr>
        <w:t>【</w:t>
      </w:r>
      <w:r>
        <w:rPr>
          <w:rFonts w:hint="eastAsia"/>
          <w:lang w:val="en-US" w:eastAsia="zh-Hans"/>
        </w:rPr>
        <w:t>新增正本</w:t>
      </w:r>
      <w:r>
        <w:rPr>
          <w:rFonts w:hint="eastAsia"/>
          <w:lang w:eastAsia="zh-Hans"/>
        </w:rPr>
        <w:t>】</w:t>
      </w:r>
      <w:r>
        <w:rPr>
          <w:rFonts w:hint="eastAsia"/>
        </w:rPr>
        <w:t>进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选择合同类型后，填写</w:t>
      </w:r>
      <w:r>
        <w:rPr>
          <w:rFonts w:hint="eastAsia"/>
        </w:rPr>
        <w:t>合同</w:t>
      </w:r>
      <w:r>
        <w:rPr>
          <w:rFonts w:hint="eastAsia"/>
          <w:lang w:val="en-US" w:eastAsia="zh-Hans"/>
        </w:rPr>
        <w:t>信息</w:t>
      </w:r>
    </w:p>
    <w:p>
      <w:r>
        <w:drawing>
          <wp:inline distT="0" distB="0" distL="114300" distR="114300">
            <wp:extent cx="6171565" cy="2033270"/>
            <wp:effectExtent l="12700" t="12700" r="13335" b="3683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2033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图10-1-1</w:t>
      </w:r>
    </w:p>
    <w:p/>
    <w:p>
      <w:pPr>
        <w:ind w:firstLine="420" w:firstLineChars="200"/>
      </w:pPr>
      <w:r>
        <w:rPr>
          <w:rFonts w:hint="eastAsia"/>
        </w:rPr>
        <w:t>如图10-1-2所示，在合同新增页面，填写合同基本信息</w:t>
      </w:r>
      <w:r>
        <w:rPr>
          <w:rFonts w:hint="eastAsia"/>
          <w:lang w:eastAsia="zh-Hans"/>
        </w:rPr>
        <w:t>、</w:t>
      </w:r>
      <w:r>
        <w:rPr>
          <w:rFonts w:hint="eastAsia"/>
        </w:rPr>
        <w:t>预算金额</w:t>
      </w:r>
      <w:r>
        <w:rPr>
          <w:rFonts w:hint="eastAsia"/>
          <w:lang w:eastAsia="zh-Hans"/>
        </w:rPr>
        <w:t>、</w:t>
      </w:r>
      <w:r>
        <w:rPr>
          <w:rFonts w:hint="eastAsia"/>
        </w:rPr>
        <w:t>合同预计生效日期（合同生效后才</w:t>
      </w:r>
      <w:r>
        <w:rPr>
          <w:rFonts w:hint="eastAsia"/>
          <w:lang w:val="en-US" w:eastAsia="zh-Hans"/>
        </w:rPr>
        <w:t>可有</w:t>
      </w:r>
      <w:r>
        <w:rPr>
          <w:rFonts w:hint="eastAsia"/>
        </w:rPr>
        <w:t>费用</w:t>
      </w:r>
      <w:r>
        <w:rPr>
          <w:rFonts w:hint="eastAsia"/>
          <w:lang w:val="en-US" w:eastAsia="zh-Hans"/>
        </w:rPr>
        <w:t>可申请使用</w:t>
      </w:r>
      <w:r>
        <w:rPr>
          <w:rFonts w:hint="eastAsia"/>
        </w:rPr>
        <w:t>），上传合同附件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并填写合同中提及的预算【即合同附件中的费用表，支持从word中粘贴复制到系统excel中】，设置合同付款给中心的计划</w:t>
      </w:r>
      <w:r>
        <w:rPr>
          <w:rFonts w:hint="eastAsia"/>
        </w:rPr>
        <w:t>；</w:t>
      </w:r>
    </w:p>
    <w:p>
      <w:r>
        <w:drawing>
          <wp:inline distT="0" distB="0" distL="0" distR="0">
            <wp:extent cx="5274310" cy="3081020"/>
            <wp:effectExtent l="12700" t="12700" r="21590" b="3048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图10-1-2</w:t>
      </w:r>
    </w:p>
    <w:p>
      <w:pPr>
        <w:pStyle w:val="3"/>
        <w:spacing w:before="156" w:beforeLines="50" w:after="156" w:afterLines="50" w:line="360" w:lineRule="auto"/>
        <w:rPr>
          <w:rFonts w:hint="eastAsia"/>
        </w:rPr>
      </w:pPr>
      <w:bookmarkStart w:id="64" w:name="_Toc349439748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2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设置合同中的预算表</w:t>
      </w:r>
      <w:bookmarkEnd w:id="64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如图10-1-3所示，</w:t>
      </w:r>
      <w:r>
        <w:rPr>
          <w:rFonts w:hint="eastAsia"/>
          <w:lang w:val="en-US" w:eastAsia="zh-Hans"/>
        </w:rPr>
        <w:t>填写</w:t>
      </w:r>
      <w:r>
        <w:rPr>
          <w:rFonts w:hint="eastAsia"/>
        </w:rPr>
        <w:t>预算费控</w:t>
      </w:r>
      <w:r>
        <w:rPr>
          <w:rFonts w:hint="eastAsia"/>
          <w:lang w:val="en-US" w:eastAsia="zh-Hans"/>
        </w:rPr>
        <w:t>时，点击税费比例</w:t>
      </w:r>
      <w:r>
        <w:rPr>
          <w:rFonts w:hint="eastAsia"/>
        </w:rPr>
        <w:t>设置</w:t>
      </w:r>
      <w:r>
        <w:rPr>
          <w:rFonts w:hint="eastAsia"/>
          <w:lang w:eastAsia="zh-Hans"/>
        </w:rPr>
        <w:t>【</w:t>
      </w:r>
      <w:r>
        <w:rPr>
          <w:rFonts w:hint="eastAsia"/>
          <w:lang w:val="en-US" w:eastAsia="zh-Hans"/>
        </w:rPr>
        <w:t>税率】</w:t>
      </w:r>
      <w:r>
        <w:rPr>
          <w:rFonts w:hint="eastAsia"/>
        </w:rPr>
        <w:t>，并在线编辑各类费用的预算金额，设置预算费控后，</w:t>
      </w:r>
      <w:r>
        <w:rPr>
          <w:rFonts w:hint="eastAsia"/>
          <w:lang w:val="en-US" w:eastAsia="zh-Hans"/>
        </w:rPr>
        <w:t>使用费用时，</w:t>
      </w:r>
      <w:r>
        <w:rPr>
          <w:rFonts w:hint="eastAsia"/>
        </w:rPr>
        <w:t>如果超出预算系统会</w:t>
      </w:r>
      <w:r>
        <w:rPr>
          <w:rFonts w:hint="eastAsia"/>
          <w:lang w:val="en-US" w:eastAsia="zh-Hans"/>
        </w:rPr>
        <w:t>自动</w:t>
      </w:r>
      <w:r>
        <w:rPr>
          <w:rFonts w:hint="eastAsia"/>
        </w:rPr>
        <w:t>提醒</w:t>
      </w:r>
      <w:r>
        <w:rPr>
          <w:rFonts w:hint="eastAsia"/>
          <w:lang w:val="en-US" w:eastAsia="zh-Hans"/>
        </w:rPr>
        <w:t>申请人</w:t>
      </w:r>
      <w:r>
        <w:rPr>
          <w:rFonts w:hint="eastAsia"/>
        </w:rPr>
        <w:t>；</w:t>
      </w:r>
    </w:p>
    <w:p>
      <w:pPr>
        <w:numPr>
          <w:ilvl w:val="0"/>
          <w:numId w:val="11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Hans"/>
        </w:rPr>
        <w:t>基于和医院商量的结果，如果需要记录每个受试者完成的访视，则研究者劳务费、受试者补助费、检验检查费，可设置具体的访视和检查检验项，如下图</w:t>
      </w:r>
    </w:p>
    <w:p>
      <w:pPr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Hans"/>
        </w:rPr>
        <w:t>基于和医院商量的结果，如果不需要管控单个访视、单个检验检查项，则只需要填写【总预算费控】中的费用总金额，且系统内置的“研究者劳务费、受试者补助费、检验检查费”不可删除，请自行重新定义此</w:t>
      </w:r>
      <w:r>
        <w:rPr>
          <w:rFonts w:hint="default"/>
          <w:lang w:eastAsia="zh-Hans"/>
        </w:rPr>
        <w:t>3</w:t>
      </w:r>
      <w:r>
        <w:rPr>
          <w:rFonts w:hint="eastAsia"/>
          <w:lang w:val="en-US" w:eastAsia="zh-Hans"/>
        </w:rPr>
        <w:t>类费用的名称，例如可新增</w:t>
      </w:r>
      <w:r>
        <w:rPr>
          <w:rFonts w:hint="default"/>
          <w:lang w:eastAsia="zh-Hans"/>
        </w:rPr>
        <w:t>3</w:t>
      </w:r>
      <w:r>
        <w:rPr>
          <w:rFonts w:hint="eastAsia"/>
          <w:lang w:val="en-US" w:eastAsia="zh-Hans"/>
        </w:rPr>
        <w:t>个“研究者费、受试者费、免费检验检查费”【具体名称可与医院协商好，或听从医院的通知】</w:t>
      </w:r>
    </w:p>
    <w:p>
      <w:pPr>
        <w:numPr>
          <w:numId w:val="0"/>
        </w:numPr>
        <w:ind w:leftChars="0"/>
      </w:pPr>
      <w:r>
        <w:drawing>
          <wp:inline distT="0" distB="0" distL="0" distR="0">
            <wp:extent cx="5274310" cy="3107055"/>
            <wp:effectExtent l="12700" t="12700" r="21590" b="2984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70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图10-1-3</w:t>
      </w:r>
    </w:p>
    <w:p>
      <w:pPr>
        <w:jc w:val="center"/>
      </w:pPr>
    </w:p>
    <w:p>
      <w:pPr>
        <w:pStyle w:val="3"/>
        <w:spacing w:before="156" w:beforeLines="50" w:after="156" w:afterLines="50" w:line="360" w:lineRule="auto"/>
        <w:rPr>
          <w:rFonts w:hint="eastAsia"/>
        </w:rPr>
      </w:pPr>
      <w:bookmarkStart w:id="65" w:name="_Toc1813553738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3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设置合同中的付款计划</w:t>
      </w:r>
      <w:bookmarkEnd w:id="65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rPr>
          <w:rFonts w:hint="eastAsia"/>
        </w:rPr>
      </w:pPr>
      <w:r>
        <w:rPr>
          <w:rFonts w:hint="eastAsia"/>
        </w:rPr>
        <w:t>如图10-1-4所示，</w:t>
      </w:r>
      <w:r>
        <w:rPr>
          <w:rFonts w:hint="eastAsia"/>
          <w:lang w:val="en-US" w:eastAsia="zh-Hans"/>
        </w:rPr>
        <w:t>编辑</w:t>
      </w:r>
      <w:r>
        <w:rPr>
          <w:rFonts w:hint="eastAsia"/>
        </w:rPr>
        <w:t>合同时，可设置付款</w:t>
      </w:r>
      <w:r>
        <w:rPr>
          <w:rFonts w:hint="eastAsia"/>
          <w:lang w:val="en-US" w:eastAsia="zh-Hans"/>
        </w:rPr>
        <w:t>给中心的</w:t>
      </w:r>
      <w:r>
        <w:rPr>
          <w:rFonts w:hint="eastAsia"/>
        </w:rPr>
        <w:t>计划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有以下</w:t>
      </w:r>
      <w:r>
        <w:rPr>
          <w:rFonts w:hint="default"/>
          <w:lang w:eastAsia="zh-Hans"/>
        </w:rPr>
        <w:t>3</w:t>
      </w:r>
      <w:r>
        <w:rPr>
          <w:rFonts w:hint="eastAsia"/>
          <w:lang w:val="en-US" w:eastAsia="zh-Hans"/>
        </w:rPr>
        <w:t>种设置方式，且可同时启用</w:t>
      </w:r>
      <w:r>
        <w:rPr>
          <w:rFonts w:hint="default"/>
          <w:lang w:eastAsia="zh-Hans"/>
        </w:rPr>
        <w:t>3</w:t>
      </w:r>
      <w:r>
        <w:rPr>
          <w:rFonts w:hint="eastAsia"/>
          <w:lang w:val="en-US" w:eastAsia="zh-Hans"/>
        </w:rPr>
        <w:t>种；</w:t>
      </w:r>
    </w:p>
    <w:p>
      <w:pPr>
        <w:numPr>
          <w:numId w:val="0"/>
        </w:numPr>
        <w:rPr>
          <w:rFonts w:hint="eastAsia"/>
        </w:rPr>
      </w:pPr>
      <w:r>
        <w:rPr>
          <w:rFonts w:hint="default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</w:rPr>
        <w:t>导入付款计划，根据</w:t>
      </w:r>
      <w:r>
        <w:rPr>
          <w:rFonts w:hint="eastAsia"/>
          <w:lang w:val="en-US" w:eastAsia="zh-Hans"/>
        </w:rPr>
        <w:t>项目进度</w:t>
      </w:r>
      <w:r>
        <w:rPr>
          <w:rFonts w:hint="eastAsia"/>
        </w:rPr>
        <w:t>完成时间推算付款时间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付款金额</w:t>
      </w:r>
      <w:r>
        <w:rPr>
          <w:rFonts w:hint="eastAsia"/>
        </w:rPr>
        <w:t>；</w:t>
      </w:r>
    </w:p>
    <w:p>
      <w:pPr>
        <w:numPr>
          <w:numId w:val="0"/>
        </w:numPr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单笔</w:t>
      </w:r>
      <w:r>
        <w:rPr>
          <w:rFonts w:hint="eastAsia"/>
        </w:rPr>
        <w:t>付款，设定固定付款日期及金额</w:t>
      </w:r>
    </w:p>
    <w:p>
      <w:pPr>
        <w:numPr>
          <w:numId w:val="0"/>
        </w:numPr>
        <w:rPr>
          <w:rFonts w:hint="eastAsia"/>
        </w:rPr>
      </w:pPr>
      <w:r>
        <w:rPr>
          <w:rFonts w:hint="eastAsia"/>
        </w:rPr>
        <w:t>3、定期据实付款，设定付款周期，如三个月</w:t>
      </w:r>
      <w:r>
        <w:rPr>
          <w:rFonts w:hint="eastAsia"/>
          <w:lang w:val="en-US" w:eastAsia="zh-Hans"/>
        </w:rPr>
        <w:t>根据实际发生的费用</w:t>
      </w:r>
      <w:r>
        <w:rPr>
          <w:rFonts w:hint="eastAsia"/>
        </w:rPr>
        <w:t>付款一次；</w:t>
      </w:r>
    </w:p>
    <w:p>
      <w:pPr>
        <w:numPr>
          <w:numId w:val="0"/>
        </w:num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注意：</w:t>
      </w:r>
    </w:p>
    <w:p>
      <w:pPr>
        <w:numPr>
          <w:ilvl w:val="0"/>
          <w:numId w:val="11"/>
        </w:numPr>
        <w:ind w:left="420" w:leftChars="0" w:hanging="420" w:firstLineChars="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根据项目进度计算出应付款后，系统会自动提醒申办方人员、项目的研究者、以及机构秘书等人员。</w:t>
      </w:r>
    </w:p>
    <w:p>
      <w:pPr>
        <w:numPr>
          <w:ilvl w:val="0"/>
          <w:numId w:val="11"/>
        </w:numPr>
        <w:ind w:left="420" w:leftChars="0" w:hanging="420" w:firstLineChars="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付款计划在合同审核通过后，可随时补充。</w:t>
      </w:r>
    </w:p>
    <w:p>
      <w:r>
        <w:drawing>
          <wp:inline distT="0" distB="0" distL="0" distR="0">
            <wp:extent cx="5274310" cy="2416810"/>
            <wp:effectExtent l="12700" t="12700" r="21590" b="3429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6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图10-1-4</w:t>
      </w:r>
    </w:p>
    <w:p>
      <w:pPr>
        <w:pStyle w:val="3"/>
        <w:spacing w:before="156" w:beforeLines="50" w:after="156" w:afterLines="50" w:line="360" w:lineRule="auto"/>
        <w:rPr>
          <w:rFonts w:hint="eastAsia"/>
        </w:rPr>
      </w:pPr>
      <w:bookmarkStart w:id="66" w:name="_Toc1162272695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4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修改被驳回的合同</w:t>
      </w:r>
      <w:bookmarkEnd w:id="66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如果合同被驳回，点击【编辑】按键，进入修改页面。</w:t>
      </w:r>
    </w:p>
    <w:p>
      <w:pPr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修改时，可查看审核人上传的被修订后的文件，也注意查看审核人对文件的批注、给的审核意见。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PDF、图片文件，可点击文件前的批注数量，查看批注内容；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如果是word文件，还可能有在线编辑痕迹；点击文件名称可查看内容以及机构在线修改的痕迹；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如果文件需要修改，请点击单个文件的【修改】，更换为修改后的文件；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误传不需要的文件，则可点击【删除】</w:t>
      </w:r>
    </w:p>
    <w:p>
      <w:pPr>
        <w:jc w:val="left"/>
      </w:pPr>
      <w:r>
        <w:drawing>
          <wp:inline distT="0" distB="0" distL="114300" distR="114300">
            <wp:extent cx="5269865" cy="1417955"/>
            <wp:effectExtent l="12700" t="12700" r="26035" b="17145"/>
            <wp:docPr id="4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4179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73040" cy="1188720"/>
            <wp:effectExtent l="12700" t="12700" r="22860" b="17780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88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hint="eastAsia"/>
        </w:rPr>
      </w:pPr>
      <w:bookmarkStart w:id="67" w:name="_Toc805931753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4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草案审核通过后，上传正本</w:t>
      </w:r>
      <w:bookmarkEnd w:id="67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医院需要先提交草案，草案审核通过后才可提交正本，则在草案审核通过后，点击【上传正本】按键，通过此渠道创建的正本，预算、付款计划等信息自动同步草案的，只需要核实下是否需要修改，如果无需修改，则可更新文件后提交正本。</w:t>
      </w:r>
    </w:p>
    <w:p>
      <w:r>
        <w:drawing>
          <wp:inline distT="0" distB="0" distL="114300" distR="114300">
            <wp:extent cx="5260975" cy="1791335"/>
            <wp:effectExtent l="12700" t="12700" r="34925" b="2476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791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hint="eastAsia"/>
        </w:rPr>
      </w:pPr>
      <w:bookmarkStart w:id="68" w:name="_Toc1115611042"/>
      <w:bookmarkStart w:id="69" w:name="_Toc34933591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5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上传合同正本</w:t>
      </w:r>
      <w:bookmarkEnd w:id="68"/>
      <w:r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</w:p>
    <w:p>
      <w:pP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hint="eastAsia"/>
        </w:rPr>
        <w:t>【经费管理】→【中心合同】→【正本审查】，显示本项目下的合同正本列表，点击【新增正本】可新建合同正本，操作同</w:t>
      </w:r>
      <w:r>
        <w:rPr>
          <w:rFonts w:hint="eastAsia"/>
          <w:lang w:val="en-US" w:eastAsia="zh-Hans"/>
        </w:rPr>
        <w:t>上传合同</w:t>
      </w:r>
      <w:r>
        <w:rPr>
          <w:rFonts w:hint="eastAsia"/>
        </w:rPr>
        <w:t>草案，合同数据与项目启动</w:t>
      </w:r>
      <w:r>
        <w:rPr>
          <w:rFonts w:hint="eastAsia"/>
          <w:lang w:val="en-US" w:eastAsia="zh-Hans"/>
        </w:rPr>
        <w:t>环节的合同</w:t>
      </w:r>
      <w:r>
        <w:rPr>
          <w:rFonts w:hint="eastAsia"/>
        </w:rPr>
        <w:t>数据同步。</w:t>
      </w:r>
      <w:bookmarkEnd w:id="69"/>
    </w:p>
    <w:p>
      <w:pPr>
        <w:pStyle w:val="2"/>
        <w:spacing w:before="156" w:beforeLines="50" w:after="156" w:afterLines="50" w:line="360" w:lineRule="auto"/>
        <w:outlineLvl w:val="0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70" w:name="_Toc395060937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16.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付款查询</w:t>
      </w:r>
      <w:bookmarkEnd w:id="70"/>
    </w:p>
    <w:p>
      <w:pPr>
        <w:ind w:firstLine="420" w:firstLineChars="200"/>
      </w:pPr>
      <w:r>
        <w:rPr>
          <w:rFonts w:hint="eastAsia"/>
        </w:rPr>
        <w:t>如图10-2-1所示，【经费管理】→【付款查询】，显示项目下的付款记录列表，点击【新增】可新增付款记录，提交后等待机构确认入账，【确认入账】</w:t>
      </w:r>
      <w:r>
        <w:rPr>
          <w:rFonts w:hint="eastAsia"/>
          <w:lang w:val="en-US" w:eastAsia="zh-Hans"/>
        </w:rPr>
        <w:t>状态的即</w:t>
      </w:r>
      <w:r>
        <w:rPr>
          <w:rFonts w:hint="eastAsia"/>
        </w:rPr>
        <w:t>为机构已确认的付款记录</w:t>
      </w:r>
      <w:r>
        <w:rPr>
          <w:rFonts w:hint="eastAsia"/>
          <w:lang w:eastAsia="zh-Hans"/>
        </w:rPr>
        <w:t>。</w:t>
      </w:r>
    </w:p>
    <w:p>
      <w:r>
        <w:drawing>
          <wp:inline distT="0" distB="0" distL="0" distR="0">
            <wp:extent cx="5274310" cy="1987550"/>
            <wp:effectExtent l="12700" t="12700" r="21590" b="3175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75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rPr>
          <w:rFonts w:hint="eastAsia"/>
        </w:rPr>
        <w:t>图10-2-1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已提交，还未被机构确认的付款记录，可撤回重新修改；撤回时，如果已提交开票信息，也会一并被撤回。</w:t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被驳回的付款记录，可修改后重新提交；</w:t>
      </w:r>
    </w:p>
    <w:p>
      <w:pPr>
        <w:jc w:val="center"/>
      </w:pPr>
      <w:r>
        <w:drawing>
          <wp:inline distT="0" distB="0" distL="114300" distR="114300">
            <wp:extent cx="5273040" cy="1493520"/>
            <wp:effectExtent l="12700" t="12700" r="22860" b="17780"/>
            <wp:docPr id="4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93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  <w:r>
        <w:drawing>
          <wp:inline distT="0" distB="0" distL="114300" distR="114300">
            <wp:extent cx="5273675" cy="828675"/>
            <wp:effectExtent l="12700" t="12700" r="22225" b="22225"/>
            <wp:docPr id="5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28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填写付款信息时，可选择本次付款关联的“审核通过”的合同正本、以及相应的付款节点</w:t>
      </w:r>
    </w:p>
    <w:p>
      <w:pPr>
        <w:numPr>
          <w:numId w:val="0"/>
        </w:numPr>
        <w:ind w:leftChars="0"/>
        <w:jc w:val="left"/>
      </w:pPr>
      <w:r>
        <w:drawing>
          <wp:inline distT="0" distB="0" distL="114300" distR="114300">
            <wp:extent cx="4859655" cy="2761615"/>
            <wp:effectExtent l="12700" t="12700" r="29845" b="19685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27616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 w:leftChars="0" w:hanging="420" w:firstLineChars="0"/>
        <w:jc w:val="left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如果能明确本次付款费用的用途，可在明细中，点击【导入明细】，选择本次费用的用途，并填写各项的入账金额，系统会自动根据合同中设置的税率，计算税费。</w:t>
      </w:r>
    </w:p>
    <w:p>
      <w:pPr>
        <w:numPr>
          <w:numId w:val="0"/>
        </w:numPr>
        <w:ind w:leftChars="0"/>
        <w:jc w:val="left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74310" cy="2628900"/>
            <wp:effectExtent l="12700" t="12700" r="21590" b="25400"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8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before="156" w:beforeLines="50" w:after="156" w:afterLines="50" w:line="360" w:lineRule="auto"/>
        <w:outlineLvl w:val="0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71" w:name="_Toc1917215282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17.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开票申请</w:t>
      </w:r>
      <w:bookmarkEnd w:id="71"/>
    </w:p>
    <w:p>
      <w:pPr>
        <w:ind w:firstLine="420" w:firstLineChars="200"/>
        <w:rPr>
          <w:rFonts w:hint="eastAsia"/>
          <w:lang w:eastAsia="zh-Hans"/>
        </w:rPr>
      </w:pPr>
      <w:r>
        <w:rPr>
          <w:rFonts w:hint="eastAsia"/>
        </w:rPr>
        <w:t>如图10-3-1所示，【经费管理】→【开票申请】，在付款查询页面新增一条付款记录，此页面生成一条待开票的申请记录，点击【编辑申请】可发起开发票申请</w:t>
      </w:r>
      <w:r>
        <w:rPr>
          <w:rFonts w:hint="eastAsia"/>
          <w:lang w:eastAsia="zh-Hans"/>
        </w:rPr>
        <w:t>；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也可在已付款的记录处，点击【申请开票】，填写发票拓抬头等信息。</w:t>
      </w:r>
    </w:p>
    <w:p>
      <w:pPr>
        <w:ind w:firstLine="420" w:firstLineChars="200"/>
        <w:rPr>
          <w:rFonts w:hint="eastAsia"/>
          <w:lang w:eastAsia="zh-Hans"/>
        </w:rPr>
      </w:pPr>
      <w:r>
        <w:drawing>
          <wp:inline distT="0" distB="0" distL="114300" distR="114300">
            <wp:extent cx="5263515" cy="1661160"/>
            <wp:effectExtent l="12700" t="12700" r="32385" b="27940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61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</w:rPr>
        <w:t>机构收到申请</w:t>
      </w:r>
      <w:r>
        <w:rPr>
          <w:rFonts w:hint="eastAsia"/>
          <w:lang w:val="en-US" w:eastAsia="zh-Hans"/>
        </w:rPr>
        <w:t>后</w:t>
      </w:r>
      <w:r>
        <w:rPr>
          <w:rFonts w:hint="eastAsia"/>
        </w:rPr>
        <w:t>，</w:t>
      </w:r>
      <w:r>
        <w:rPr>
          <w:rFonts w:hint="eastAsia"/>
          <w:lang w:val="en-US" w:eastAsia="zh-Hans"/>
        </w:rPr>
        <w:t>在机构还未开票时，可撤回申请，重新提交；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提交的开票申请如果被机构驳回，可重新编辑后再次提交；</w:t>
      </w:r>
    </w:p>
    <w:p>
      <w:pPr>
        <w:ind w:firstLine="420" w:firstLineChars="200"/>
      </w:pPr>
      <w:r>
        <w:rPr>
          <w:rFonts w:hint="eastAsia"/>
        </w:rPr>
        <w:t>可选择纸质/电子发票，电子发票机构上传后，可在此页面查看附件；</w:t>
      </w:r>
    </w:p>
    <w:p>
      <w:r>
        <w:drawing>
          <wp:inline distT="0" distB="0" distL="114300" distR="114300">
            <wp:extent cx="5257800" cy="2391410"/>
            <wp:effectExtent l="12700" t="12700" r="12700" b="34290"/>
            <wp:docPr id="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91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图10-3-1</w:t>
      </w:r>
    </w:p>
    <w:p>
      <w:pPr>
        <w:jc w:val="center"/>
      </w:pPr>
    </w:p>
    <w:p>
      <w:pPr>
        <w:pStyle w:val="2"/>
        <w:spacing w:before="156" w:beforeLines="50" w:after="156" w:afterLines="50" w:line="360" w:lineRule="auto"/>
        <w:outlineLvl w:val="0"/>
        <w:rPr>
          <w:rFonts w:hint="default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72" w:name="_Toc1792604986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18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.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经费申请</w:t>
      </w:r>
      <w:bookmarkEnd w:id="72"/>
    </w:p>
    <w:p>
      <w:pPr>
        <w:jc w:val="both"/>
        <w:rPr>
          <w:rFonts w:hint="eastAsia"/>
          <w:lang w:val="en-US" w:eastAsia="zh-Hans"/>
        </w:rPr>
      </w:pPr>
      <w:r>
        <w:rPr>
          <w:rFonts w:hint="eastAsia"/>
        </w:rPr>
        <w:t>如图10-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-1所示</w:t>
      </w:r>
      <w:r>
        <w:rPr>
          <w:rFonts w:hint="eastAsia"/>
          <w:lang w:eastAsia="zh-CN"/>
        </w:rPr>
        <w:t>，【</w:t>
      </w:r>
      <w:r>
        <w:rPr>
          <w:rFonts w:hint="eastAsia"/>
          <w:lang w:val="en-US" w:eastAsia="zh-CN"/>
        </w:rPr>
        <w:t>经费管理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-【经费申请】，点击【新增申请】可新增经费，</w:t>
      </w:r>
      <w:r>
        <w:rPr>
          <w:rFonts w:hint="eastAsia"/>
          <w:lang w:val="en-US" w:eastAsia="zh-Hans"/>
        </w:rPr>
        <w:t>选择申请的单据类型后，填写费用明细；</w:t>
      </w:r>
    </w:p>
    <w:p>
      <w:pPr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因每个医院的申请单内容有差异，本次说明的是模拟单据，如果想使用相同的方法，可与机构的实施工程师联络沟通。</w:t>
      </w:r>
    </w:p>
    <w:p>
      <w:pPr>
        <w:pStyle w:val="3"/>
        <w:spacing w:before="156" w:beforeLines="50" w:after="156" w:afterLines="50" w:line="360" w:lineRule="auto"/>
        <w:rPr>
          <w:rFonts w:hint="default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73" w:name="_Toc1263915939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18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1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登记过随访信息，按访视计算劳务费</w:t>
      </w:r>
      <w:bookmarkEnd w:id="73"/>
    </w:p>
    <w:p>
      <w:pPr>
        <w:jc w:val="both"/>
      </w:pPr>
      <w:r>
        <w:drawing>
          <wp:inline distT="0" distB="0" distL="114300" distR="114300">
            <wp:extent cx="5259070" cy="2985135"/>
            <wp:effectExtent l="12700" t="12700" r="36830" b="24765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985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申请合同中提及过的劳务费，则点击【新增合同内费用】，选择已完成的访视导入到本次申请单据中</w:t>
      </w:r>
    </w:p>
    <w:p>
      <w:pPr>
        <w:numPr>
          <w:ilvl w:val="1"/>
          <w:numId w:val="3"/>
        </w:numPr>
        <w:ind w:left="840" w:leftChars="0" w:hanging="420" w:firstLineChars="0"/>
        <w:jc w:val="both"/>
      </w:pPr>
      <w:r>
        <w:rPr>
          <w:rFonts w:hint="eastAsia"/>
          <w:lang w:val="en-US" w:eastAsia="zh-Hans"/>
        </w:rPr>
        <w:t>部分医院，基于机构管理流程，项目的研究者劳务费的最多可申请合同的n</w:t>
      </w:r>
      <w:r>
        <w:rPr>
          <w:rFonts w:hint="default"/>
          <w:lang w:eastAsia="zh-Hans"/>
        </w:rPr>
        <w:t>%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故可申请金额可能小于预算金额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4568190" cy="3373755"/>
            <wp:effectExtent l="12700" t="12700" r="16510" b="17145"/>
            <wp:docPr id="5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568190" cy="3373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申请合同中没有提及过的劳务费，则点击【新增合同外费用】，选择受试者、已完成的访视，以及本次要申请的金额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55260" cy="871220"/>
            <wp:effectExtent l="12700" t="12700" r="15240" b="30480"/>
            <wp:docPr id="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8712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both"/>
      </w:pPr>
    </w:p>
    <w:p>
      <w:pPr>
        <w:pStyle w:val="3"/>
        <w:spacing w:before="156" w:beforeLines="50" w:after="156" w:afterLines="50" w:line="360" w:lineRule="auto"/>
      </w:pPr>
      <w:bookmarkStart w:id="74" w:name="_Toc1874434296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18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2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登记过随访信息，按访视计算受试者补助</w:t>
      </w:r>
      <w:bookmarkEnd w:id="74"/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申请合同中提及过的受试者补助费，则点击【新增合同内费用】，选择已完成的访视导入到本次申请单据中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59070" cy="2968625"/>
            <wp:effectExtent l="12700" t="12700" r="36830" b="15875"/>
            <wp:docPr id="5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968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申请合同中没有提及过的受试者费，则点击【新增合同外费用】，选择受试者、已完成的访视，以及本次要申请的金额</w:t>
      </w:r>
    </w:p>
    <w:p>
      <w:pPr>
        <w:jc w:val="both"/>
      </w:pPr>
      <w:r>
        <w:drawing>
          <wp:inline distT="0" distB="0" distL="114300" distR="114300">
            <wp:extent cx="5255895" cy="1307465"/>
            <wp:effectExtent l="12700" t="12700" r="14605" b="26035"/>
            <wp:docPr id="6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1307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如果需要填写领取补助的受试者银行卡等信息，请点击【同步受试者信息】，自动获取上方提及的受试者、访视信息，同步至下方的受试者列表中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70500" cy="2720975"/>
            <wp:effectExtent l="12700" t="12700" r="25400" b="34925"/>
            <wp:docPr id="6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2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如果需要填写受试者的银行卡信息，为了避免每次申请都重复填写，可维护一次每个受试者的银行卡信息，点击【受试者收款账户信息】</w:t>
      </w:r>
      <w:r>
        <w:rPr>
          <w:rFonts w:hint="default"/>
          <w:lang w:eastAsia="zh-Hans"/>
        </w:rPr>
        <w:t>-</w:t>
      </w:r>
      <w:r>
        <w:rPr>
          <w:rFonts w:hint="eastAsia"/>
          <w:lang w:eastAsia="zh-Hans"/>
        </w:rPr>
        <w:t>【</w:t>
      </w:r>
      <w:r>
        <w:rPr>
          <w:rFonts w:hint="eastAsia"/>
          <w:lang w:val="en-US" w:eastAsia="zh-Hans"/>
        </w:rPr>
        <w:t>导入</w:t>
      </w:r>
      <w:r>
        <w:rPr>
          <w:rFonts w:hint="eastAsia"/>
          <w:lang w:eastAsia="zh-Hans"/>
        </w:rPr>
        <w:t>】</w:t>
      </w:r>
      <w:r>
        <w:rPr>
          <w:rFonts w:hint="eastAsia"/>
          <w:lang w:val="en-US" w:eastAsia="zh-Hans"/>
        </w:rPr>
        <w:t>按键，填写受试者的银行卡信息</w:t>
      </w:r>
    </w:p>
    <w:p>
      <w:pPr>
        <w:numPr>
          <w:ilvl w:val="1"/>
          <w:numId w:val="12"/>
        </w:numPr>
        <w:ind w:left="840" w:leftChars="0" w:hanging="420" w:firstLineChars="0"/>
        <w:jc w:val="both"/>
      </w:pPr>
      <w:r>
        <w:rPr>
          <w:rFonts w:hint="eastAsia"/>
          <w:lang w:val="en-US" w:eastAsia="zh-Hans"/>
        </w:rPr>
        <w:t>点击【新增】维护一个受试者新的银行卡信息，一个受试者可有多个银行卡</w:t>
      </w:r>
    </w:p>
    <w:p>
      <w:pPr>
        <w:numPr>
          <w:ilvl w:val="1"/>
          <w:numId w:val="12"/>
        </w:numPr>
        <w:ind w:left="840" w:leftChars="0" w:hanging="420" w:firstLineChars="0"/>
        <w:jc w:val="both"/>
      </w:pPr>
      <w:r>
        <w:rPr>
          <w:rFonts w:hint="eastAsia"/>
          <w:lang w:val="en-US" w:eastAsia="zh-Hans"/>
        </w:rPr>
        <w:t>如果已登记过银行卡信息，则选中，并点击右下角的【添加到列表】即可导入表格中，自动按受试者筛选号填充银行卡信息</w:t>
      </w:r>
    </w:p>
    <w:p>
      <w:pPr>
        <w:numPr>
          <w:ilvl w:val="1"/>
          <w:numId w:val="12"/>
        </w:numPr>
        <w:ind w:left="840" w:leftChars="0" w:hanging="420" w:firstLineChars="0"/>
        <w:jc w:val="both"/>
      </w:pPr>
      <w:r>
        <w:rPr>
          <w:rFonts w:hint="eastAsia"/>
          <w:lang w:val="en-US" w:eastAsia="zh-Hans"/>
        </w:rPr>
        <w:t>如果一个受试者有多张银行卡，导入有误，则可点击【重新导入】选择新的银行卡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71135" cy="2228215"/>
            <wp:effectExtent l="12700" t="12700" r="24765" b="19685"/>
            <wp:docPr id="6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28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72405" cy="1962785"/>
            <wp:effectExtent l="12700" t="12700" r="23495" b="31115"/>
            <wp:docPr id="6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62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hint="default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75" w:name="_Toc32111382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18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3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登记过随访信息，按访视计算检验检查费</w:t>
      </w:r>
      <w:bookmarkEnd w:id="75"/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申请合同中提及过的免费检验检查费，则点击【新增合同内费用】，选择已完成访视中提及的免费检验检查项，导入到本次申请单据中</w:t>
      </w:r>
    </w:p>
    <w:p>
      <w:pPr>
        <w:jc w:val="both"/>
      </w:pPr>
      <w:r>
        <w:drawing>
          <wp:inline distT="0" distB="0" distL="114300" distR="114300">
            <wp:extent cx="5263515" cy="3896360"/>
            <wp:effectExtent l="12700" t="12700" r="32385" b="27940"/>
            <wp:docPr id="7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8963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申请额外执行的免费检验检查费，则点击【新增合同外费用】，选择已完成访视、免费检验检查项，导入到本次申请单据中</w:t>
      </w:r>
    </w:p>
    <w:p>
      <w:pPr>
        <w:jc w:val="both"/>
      </w:pPr>
      <w:r>
        <w:drawing>
          <wp:inline distT="0" distB="0" distL="114300" distR="114300">
            <wp:extent cx="5269865" cy="904875"/>
            <wp:effectExtent l="12700" t="12700" r="26035" b="22225"/>
            <wp:docPr id="7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9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04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156" w:beforeLines="50" w:after="156" w:afterLines="50" w:line="360" w:lineRule="auto"/>
        <w:rPr>
          <w:rFonts w:hint="default" w:ascii="宋体" w:hAnsi="宋体" w:eastAsia="宋体" w:cs="宋体"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bookmarkStart w:id="76" w:name="_Toc677601877"/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18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.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:lang w:eastAsia="zh-Hans"/>
          <w14:textFill>
            <w14:solidFill>
              <w14:schemeClr w14:val="tx2"/>
            </w14:solidFill>
          </w14:textFill>
        </w:rPr>
        <w:t>4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未登记受试者、随访信息，或申请质控等费用</w:t>
      </w:r>
      <w:bookmarkEnd w:id="76"/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申请合同中提及过的费用，则点击【新增合同内费用】，选择具体的费用项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73040" cy="1223645"/>
            <wp:effectExtent l="12700" t="12700" r="22860" b="33655"/>
            <wp:docPr id="7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236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0" w:leftChars="0" w:hanging="420" w:firstLineChars="0"/>
        <w:jc w:val="both"/>
      </w:pPr>
      <w:r>
        <w:rPr>
          <w:rFonts w:hint="eastAsia"/>
          <w:lang w:val="en-US" w:eastAsia="zh-Hans"/>
        </w:rPr>
        <w:t>申请合同中未提及过的费用，则点击【新增合同外费用】，填写费用项名称、金额等信息</w:t>
      </w:r>
    </w:p>
    <w:p>
      <w:pPr>
        <w:numPr>
          <w:numId w:val="0"/>
        </w:numPr>
        <w:ind w:leftChars="0"/>
        <w:jc w:val="both"/>
      </w:pPr>
      <w:r>
        <w:drawing>
          <wp:inline distT="0" distB="0" distL="114300" distR="114300">
            <wp:extent cx="5269230" cy="645795"/>
            <wp:effectExtent l="12700" t="12700" r="26670" b="27305"/>
            <wp:docPr id="7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45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tabs>
          <w:tab w:val="left" w:pos="312"/>
        </w:tabs>
        <w:spacing w:before="156" w:beforeLines="50" w:after="156" w:afterLines="50" w:line="360" w:lineRule="auto"/>
        <w:rPr>
          <w:rFonts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77" w:name="_Toc348966698"/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1</w:t>
      </w:r>
      <w:r>
        <w:rPr>
          <w:rFonts w:hint="default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9</w:t>
      </w:r>
      <w:r>
        <w:rPr>
          <w:rFonts w:hint="eastAsia" w:ascii="宋体" w:hAnsi="宋体" w:eastAsia="宋体" w:cs="宋体"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.项目结题</w:t>
      </w:r>
      <w:bookmarkEnd w:id="77"/>
    </w:p>
    <w:p>
      <w:r>
        <w:rPr>
          <w:rFonts w:hint="eastAsia"/>
        </w:rPr>
        <w:t>如图11-1所示，显示项目结题阶段需完成的事件列表，点击【编辑】可上传结题资料、文件，提交之后等待机构审核，机构还未审核时可撤回，机构驳回后可修改后重新提交。</w:t>
      </w:r>
    </w:p>
    <w:p>
      <w:r>
        <w:drawing>
          <wp:inline distT="0" distB="0" distL="0" distR="0">
            <wp:extent cx="5274310" cy="1414780"/>
            <wp:effectExtent l="12700" t="12700" r="21590" b="203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47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图11-1</w:t>
      </w:r>
    </w:p>
    <w:p>
      <w:pPr>
        <w:pStyle w:val="2"/>
        <w:numPr>
          <w:ilvl w:val="0"/>
          <w:numId w:val="13"/>
        </w:numPr>
        <w:tabs>
          <w:tab w:val="left" w:pos="312"/>
        </w:tabs>
        <w:spacing w:before="156" w:beforeLines="50" w:after="156" w:afterLines="50" w:line="360" w:lineRule="auto"/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bookmarkStart w:id="78" w:name="_Toc305453329"/>
      <w:r>
        <w:rPr>
          <w:rFonts w:hint="eastAsia" w:ascii="宋体" w:hAnsi="宋体" w:eastAsia="宋体" w:cs="宋体"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SAE管家</w:t>
      </w:r>
      <w:bookmarkEnd w:id="78"/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见单独的操作手册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Calibri">
    <w:altName w:val="Helvetica Neue"/>
    <w:panose1 w:val="020F0502020204030204"/>
    <w:charset w:val="86"/>
    <w:family w:val="swiss"/>
    <w:pitch w:val="default"/>
    <w:sig w:usb0="00000000" w:usb1="00000000" w:usb2="00000009" w:usb3="00000000" w:csb0="200001FF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</w:font>
  <w:font w:name="华文细黑">
    <w:altName w:val="黑体-简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Symbol">
    <w:altName w:val="Kingsoft Sign"/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Courier New">
    <w:panose1 w:val="02070409020205090404"/>
    <w:charset w:val="00"/>
    <w:family w:val="auto"/>
    <w:pitch w:val="default"/>
    <w:sig w:usb0="E0000AFF" w:usb1="40007843" w:usb2="00000001" w:usb3="00000000" w:csb0="400001BF" w:csb1="DFF7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DengXian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DengXian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DengXian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S Mincho">
    <w:altName w:val="Hiragino Sans"/>
    <w:panose1 w:val="02020609040205080304"/>
    <w:charset w:val="80"/>
    <w:family w:val="auto"/>
    <w:pitch w:val="default"/>
    <w:sig w:usb0="00000000" w:usb1="00000000" w:usb2="08000012" w:usb3="00000000" w:csb0="0002009F" w:csb1="00000000"/>
  </w:font>
  <w:font w:name="Hiragino Sans">
    <w:panose1 w:val="020B0300000000000000"/>
    <w:charset w:val="80"/>
    <w:family w:val="auto"/>
    <w:pitch w:val="default"/>
    <w:sig w:usb0="E00002FF" w:usb1="7AE7FFFF" w:usb2="00000012" w:usb3="00000000" w:csb0="0002000D" w:csb1="00000000"/>
  </w:font>
  <w:font w:name="-apple-system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@华文细黑">
    <w:altName w:val="苹方-简"/>
    <w:panose1 w:val="00000000000000000000"/>
    <w:charset w:val="86"/>
    <w:family w:val="auto"/>
    <w:pitch w:val="default"/>
    <w:sig w:usb0="00000000" w:usb1="00000000" w:usb2="00000010" w:usb3="00000000" w:csb0="00040001" w:csb1="00000000"/>
  </w:font>
  <w:font w:name="@宋体">
    <w:altName w:val="苹方-简"/>
    <w:panose1 w:val="00000000000000000000"/>
    <w:charset w:val="86"/>
    <w:family w:val="auto"/>
    <w:pitch w:val="default"/>
    <w:sig w:usb0="00000000" w:usb1="00000000" w:usb2="00000016" w:usb3="00000000" w:csb0="00040001" w:csb1="00000000"/>
  </w:font>
  <w:font w:name="Cambria Math">
    <w:altName w:val="Kingsoft Math"/>
    <w:panose1 w:val="00000000000000000000"/>
    <w:charset w:val="01"/>
    <w:family w:val="auto"/>
    <w:pitch w:val="default"/>
    <w:sig w:usb0="00000000" w:usb1="00000000" w:usb2="00000000" w:usb3="00000000" w:csb0="00000000" w:csb1="00000000"/>
  </w:font>
  <w:font w:name="@微软雅黑">
    <w:altName w:val="苹方-简"/>
    <w:panose1 w:val="00000000000000000000"/>
    <w:charset w:val="86"/>
    <w:family w:val="auto"/>
    <w:pitch w:val="default"/>
    <w:sig w:usb0="00000000" w:usb1="00000000" w:usb2="00000016" w:usb3="00000000" w:csb0="0004001F" w:csb1="00000000"/>
  </w:font>
  <w:font w:name="Thonburi">
    <w:panose1 w:val="00000400000000000000"/>
    <w:charset w:val="00"/>
    <w:family w:val="auto"/>
    <w:pitch w:val="default"/>
    <w:sig w:usb0="01000000" w:usb1="00000000" w:usb2="00000000" w:usb3="00000000" w:csb0="20000193" w:csb1="4D000000"/>
  </w:font>
  <w:font w:name="雅黑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Math">
    <w:panose1 w:val="02040503050406030204"/>
    <w:charset w:val="00"/>
    <w:family w:val="auto"/>
    <w:pitch w:val="default"/>
    <w:sig w:usb0="80000087" w:usb1="00002068" w:usb2="00000000" w:usb3="00000000" w:csb0="2000019F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PingFangSC-Regular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0AEDCBA"/>
    <w:multiLevelType w:val="singleLevel"/>
    <w:tmpl w:val="80AEDCBA"/>
    <w:lvl w:ilvl="0" w:tentative="0">
      <w:start w:val="4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5F86BDFB"/>
    <w:multiLevelType w:val="singleLevel"/>
    <w:tmpl w:val="5F86BDFB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60AA27F3"/>
    <w:multiLevelType w:val="singleLevel"/>
    <w:tmpl w:val="60AA27F3"/>
    <w:lvl w:ilvl="0" w:tentative="0">
      <w:start w:val="1"/>
      <w:numFmt w:val="bullet"/>
      <w:lvlText w:val="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3">
    <w:nsid w:val="60BADDED"/>
    <w:multiLevelType w:val="singleLevel"/>
    <w:tmpl w:val="60BADDED"/>
    <w:lvl w:ilvl="0" w:tentative="0">
      <w:start w:val="1"/>
      <w:numFmt w:val="bullet"/>
      <w:lvlText w:val="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4">
    <w:nsid w:val="60BF1E46"/>
    <w:multiLevelType w:val="singleLevel"/>
    <w:tmpl w:val="60BF1E46"/>
    <w:lvl w:ilvl="0" w:tentative="0">
      <w:start w:val="1"/>
      <w:numFmt w:val="decimal"/>
      <w:lvlText w:val="%1)"/>
      <w:lvlJc w:val="left"/>
      <w:pPr>
        <w:ind w:left="425" w:leftChars="0" w:hanging="425" w:firstLineChars="0"/>
      </w:pPr>
      <w:rPr>
        <w:rFonts w:hint="default"/>
      </w:rPr>
    </w:lvl>
  </w:abstractNum>
  <w:abstractNum w:abstractNumId="5">
    <w:nsid w:val="60C31F0D"/>
    <w:multiLevelType w:val="singleLevel"/>
    <w:tmpl w:val="60C31F0D"/>
    <w:lvl w:ilvl="0" w:tentative="0">
      <w:start w:val="1"/>
      <w:numFmt w:val="bullet"/>
      <w:lvlText w:val="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6">
    <w:nsid w:val="60EBCFF4"/>
    <w:multiLevelType w:val="singleLevel"/>
    <w:tmpl w:val="60EBCFF4"/>
    <w:lvl w:ilvl="0" w:tentative="0">
      <w:start w:val="1"/>
      <w:numFmt w:val="bullet"/>
      <w:lvlText w:val="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7">
    <w:nsid w:val="60EBD823"/>
    <w:multiLevelType w:val="multilevel"/>
    <w:tmpl w:val="60EBD823"/>
    <w:lvl w:ilvl="0" w:tentative="0">
      <w:start w:val="1"/>
      <w:numFmt w:val="bullet"/>
      <w:lvlText w:val=""/>
      <w:lvlJc w:val="left"/>
      <w:pPr>
        <w:ind w:left="420" w:leftChars="0" w:hanging="420" w:firstLineChars="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840" w:leftChars="0" w:hanging="420" w:firstLineChars="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1260" w:leftChars="0" w:hanging="420" w:firstLineChars="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leftChars="0" w:hanging="420" w:firstLineChars="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leftChars="0" w:hanging="420" w:firstLineChars="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leftChars="0" w:hanging="420" w:firstLineChars="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leftChars="0" w:hanging="420" w:firstLineChars="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leftChars="0" w:hanging="420" w:firstLineChars="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leftChars="0" w:hanging="420" w:firstLineChars="0"/>
      </w:pPr>
      <w:rPr>
        <w:rFonts w:hint="default" w:ascii="Wingdings" w:hAnsi="Wingdings"/>
      </w:rPr>
    </w:lvl>
  </w:abstractNum>
  <w:abstractNum w:abstractNumId="8">
    <w:nsid w:val="60ED5B2F"/>
    <w:multiLevelType w:val="singleLevel"/>
    <w:tmpl w:val="60ED5B2F"/>
    <w:lvl w:ilvl="0" w:tentative="0">
      <w:start w:val="9"/>
      <w:numFmt w:val="decimal"/>
      <w:suff w:val="nothing"/>
      <w:lvlText w:val="%1."/>
      <w:lvlJc w:val="left"/>
    </w:lvl>
  </w:abstractNum>
  <w:abstractNum w:abstractNumId="9">
    <w:nsid w:val="60ED5C80"/>
    <w:multiLevelType w:val="singleLevel"/>
    <w:tmpl w:val="60ED5C80"/>
    <w:lvl w:ilvl="0" w:tentative="0">
      <w:start w:val="13"/>
      <w:numFmt w:val="decimal"/>
      <w:suff w:val="nothing"/>
      <w:lvlText w:val="%1."/>
      <w:lvlJc w:val="left"/>
    </w:lvl>
  </w:abstractNum>
  <w:abstractNum w:abstractNumId="10">
    <w:nsid w:val="60ED5CB0"/>
    <w:multiLevelType w:val="singleLevel"/>
    <w:tmpl w:val="60ED5CB0"/>
    <w:lvl w:ilvl="0" w:tentative="0">
      <w:start w:val="14"/>
      <w:numFmt w:val="decimal"/>
      <w:suff w:val="nothing"/>
      <w:lvlText w:val="%1."/>
      <w:lvlJc w:val="left"/>
    </w:lvl>
  </w:abstractNum>
  <w:abstractNum w:abstractNumId="11">
    <w:nsid w:val="60ED6EE6"/>
    <w:multiLevelType w:val="multilevel"/>
    <w:tmpl w:val="60ED6EE6"/>
    <w:lvl w:ilvl="0" w:tentative="0">
      <w:start w:val="1"/>
      <w:numFmt w:val="bullet"/>
      <w:lvlText w:val=""/>
      <w:lvlJc w:val="left"/>
      <w:pPr>
        <w:ind w:left="420" w:leftChars="0" w:hanging="420" w:firstLineChars="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840" w:leftChars="0" w:hanging="420" w:firstLineChars="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1260" w:leftChars="0" w:hanging="420" w:firstLineChars="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leftChars="0" w:hanging="420" w:firstLineChars="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leftChars="0" w:hanging="420" w:firstLineChars="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leftChars="0" w:hanging="420" w:firstLineChars="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leftChars="0" w:hanging="420" w:firstLineChars="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leftChars="0" w:hanging="420" w:firstLineChars="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leftChars="0" w:hanging="420" w:firstLineChars="0"/>
      </w:pPr>
      <w:rPr>
        <w:rFonts w:hint="default" w:ascii="Wingdings" w:hAnsi="Wingdings"/>
      </w:rPr>
    </w:lvl>
  </w:abstractNum>
  <w:abstractNum w:abstractNumId="12">
    <w:nsid w:val="60ED73CB"/>
    <w:multiLevelType w:val="singleLevel"/>
    <w:tmpl w:val="60ED73CB"/>
    <w:lvl w:ilvl="0" w:tentative="0">
      <w:start w:val="20"/>
      <w:numFmt w:val="decimal"/>
      <w:suff w:val="nothing"/>
      <w:lvlText w:val="%1."/>
      <w:lvlJc w:val="left"/>
    </w:lvl>
  </w:abstractNum>
  <w:num w:numId="1">
    <w:abstractNumId w:val="6"/>
  </w:num>
  <w:num w:numId="2">
    <w:abstractNumId w:val="0"/>
  </w:num>
  <w:num w:numId="3">
    <w:abstractNumId w:val="7"/>
  </w:num>
  <w:num w:numId="4">
    <w:abstractNumId w:val="8"/>
  </w:num>
  <w:num w:numId="5">
    <w:abstractNumId w:val="3"/>
  </w:num>
  <w:num w:numId="6">
    <w:abstractNumId w:val="4"/>
  </w:num>
  <w:num w:numId="7">
    <w:abstractNumId w:val="1"/>
  </w:num>
  <w:num w:numId="8">
    <w:abstractNumId w:val="5"/>
  </w:num>
  <w:num w:numId="9">
    <w:abstractNumId w:val="9"/>
  </w:num>
  <w:num w:numId="10">
    <w:abstractNumId w:val="10"/>
  </w:num>
  <w:num w:numId="11">
    <w:abstractNumId w:val="2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5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7EF"/>
    <w:rsid w:val="00021FE2"/>
    <w:rsid w:val="000333A8"/>
    <w:rsid w:val="0006178D"/>
    <w:rsid w:val="00066D26"/>
    <w:rsid w:val="00070EEC"/>
    <w:rsid w:val="00075B66"/>
    <w:rsid w:val="00076AD5"/>
    <w:rsid w:val="00091E01"/>
    <w:rsid w:val="000B231F"/>
    <w:rsid w:val="000C28E8"/>
    <w:rsid w:val="000C31AE"/>
    <w:rsid w:val="000D4A9C"/>
    <w:rsid w:val="00113B3A"/>
    <w:rsid w:val="00125BCF"/>
    <w:rsid w:val="0014695A"/>
    <w:rsid w:val="0015182D"/>
    <w:rsid w:val="001626D7"/>
    <w:rsid w:val="00171EEC"/>
    <w:rsid w:val="00193193"/>
    <w:rsid w:val="001A253A"/>
    <w:rsid w:val="001B1697"/>
    <w:rsid w:val="001D21BE"/>
    <w:rsid w:val="001D67D5"/>
    <w:rsid w:val="001E37EF"/>
    <w:rsid w:val="001F1E87"/>
    <w:rsid w:val="001F36A4"/>
    <w:rsid w:val="002011E1"/>
    <w:rsid w:val="00207723"/>
    <w:rsid w:val="00210498"/>
    <w:rsid w:val="0021784F"/>
    <w:rsid w:val="00226C52"/>
    <w:rsid w:val="002406FF"/>
    <w:rsid w:val="002735F6"/>
    <w:rsid w:val="002C2DCA"/>
    <w:rsid w:val="002D24C3"/>
    <w:rsid w:val="002F45D1"/>
    <w:rsid w:val="002F7E2A"/>
    <w:rsid w:val="0031083C"/>
    <w:rsid w:val="003744D7"/>
    <w:rsid w:val="003867D8"/>
    <w:rsid w:val="003C5473"/>
    <w:rsid w:val="003D1563"/>
    <w:rsid w:val="003F01C7"/>
    <w:rsid w:val="003F1A12"/>
    <w:rsid w:val="00402C38"/>
    <w:rsid w:val="00415AA5"/>
    <w:rsid w:val="00424936"/>
    <w:rsid w:val="00452949"/>
    <w:rsid w:val="004620B5"/>
    <w:rsid w:val="004769C9"/>
    <w:rsid w:val="004A1C8E"/>
    <w:rsid w:val="004D681E"/>
    <w:rsid w:val="004E4FB8"/>
    <w:rsid w:val="0054619A"/>
    <w:rsid w:val="005809B9"/>
    <w:rsid w:val="00587666"/>
    <w:rsid w:val="005A34B4"/>
    <w:rsid w:val="005D4AF7"/>
    <w:rsid w:val="005E48CC"/>
    <w:rsid w:val="005E7EEB"/>
    <w:rsid w:val="005F5241"/>
    <w:rsid w:val="006123CA"/>
    <w:rsid w:val="00614A31"/>
    <w:rsid w:val="00641A52"/>
    <w:rsid w:val="00661FF4"/>
    <w:rsid w:val="00666FE3"/>
    <w:rsid w:val="00673B17"/>
    <w:rsid w:val="006865E8"/>
    <w:rsid w:val="006A2522"/>
    <w:rsid w:val="006A2E57"/>
    <w:rsid w:val="006A6C4D"/>
    <w:rsid w:val="006B0A0C"/>
    <w:rsid w:val="006B2735"/>
    <w:rsid w:val="006C35D5"/>
    <w:rsid w:val="006D119B"/>
    <w:rsid w:val="006F0ABB"/>
    <w:rsid w:val="006F207A"/>
    <w:rsid w:val="006F2558"/>
    <w:rsid w:val="00725D3C"/>
    <w:rsid w:val="00747C9B"/>
    <w:rsid w:val="00750902"/>
    <w:rsid w:val="00750B7C"/>
    <w:rsid w:val="007703A5"/>
    <w:rsid w:val="007749E4"/>
    <w:rsid w:val="007870C9"/>
    <w:rsid w:val="007B0C45"/>
    <w:rsid w:val="007B3FB9"/>
    <w:rsid w:val="007D76EB"/>
    <w:rsid w:val="007E79F4"/>
    <w:rsid w:val="007F46C1"/>
    <w:rsid w:val="00803B37"/>
    <w:rsid w:val="00824FF6"/>
    <w:rsid w:val="008331BE"/>
    <w:rsid w:val="0083529C"/>
    <w:rsid w:val="00837894"/>
    <w:rsid w:val="00882A5E"/>
    <w:rsid w:val="008856B8"/>
    <w:rsid w:val="00885AB4"/>
    <w:rsid w:val="008B4A64"/>
    <w:rsid w:val="008D1662"/>
    <w:rsid w:val="008D1C21"/>
    <w:rsid w:val="009345FC"/>
    <w:rsid w:val="00947F2F"/>
    <w:rsid w:val="009509F6"/>
    <w:rsid w:val="00974138"/>
    <w:rsid w:val="009A5666"/>
    <w:rsid w:val="009E47DF"/>
    <w:rsid w:val="009F3DEB"/>
    <w:rsid w:val="00A01BED"/>
    <w:rsid w:val="00A04A10"/>
    <w:rsid w:val="00A07C4F"/>
    <w:rsid w:val="00A1769E"/>
    <w:rsid w:val="00A26EFD"/>
    <w:rsid w:val="00A30BED"/>
    <w:rsid w:val="00A34B4B"/>
    <w:rsid w:val="00A4457F"/>
    <w:rsid w:val="00A46FFC"/>
    <w:rsid w:val="00A54543"/>
    <w:rsid w:val="00A75BC5"/>
    <w:rsid w:val="00A91357"/>
    <w:rsid w:val="00AA3266"/>
    <w:rsid w:val="00AA3F6A"/>
    <w:rsid w:val="00AB7F18"/>
    <w:rsid w:val="00AC2DD9"/>
    <w:rsid w:val="00AC534B"/>
    <w:rsid w:val="00AE18BC"/>
    <w:rsid w:val="00AE3121"/>
    <w:rsid w:val="00AE4C34"/>
    <w:rsid w:val="00B21CE5"/>
    <w:rsid w:val="00B25F4B"/>
    <w:rsid w:val="00B74040"/>
    <w:rsid w:val="00B907E0"/>
    <w:rsid w:val="00B93C2C"/>
    <w:rsid w:val="00BC5D37"/>
    <w:rsid w:val="00BD42FE"/>
    <w:rsid w:val="00BE4398"/>
    <w:rsid w:val="00C00238"/>
    <w:rsid w:val="00C0372B"/>
    <w:rsid w:val="00C130FC"/>
    <w:rsid w:val="00C750CD"/>
    <w:rsid w:val="00C807EC"/>
    <w:rsid w:val="00C82605"/>
    <w:rsid w:val="00C8760F"/>
    <w:rsid w:val="00CB0569"/>
    <w:rsid w:val="00CE3D3B"/>
    <w:rsid w:val="00D2624F"/>
    <w:rsid w:val="00D27547"/>
    <w:rsid w:val="00D331C7"/>
    <w:rsid w:val="00D3616F"/>
    <w:rsid w:val="00D41722"/>
    <w:rsid w:val="00D5730F"/>
    <w:rsid w:val="00D674A5"/>
    <w:rsid w:val="00D95ED6"/>
    <w:rsid w:val="00DA5D81"/>
    <w:rsid w:val="00DB363B"/>
    <w:rsid w:val="00DC528F"/>
    <w:rsid w:val="00E15E38"/>
    <w:rsid w:val="00E274C7"/>
    <w:rsid w:val="00E30786"/>
    <w:rsid w:val="00E4090D"/>
    <w:rsid w:val="00E5023E"/>
    <w:rsid w:val="00E512F3"/>
    <w:rsid w:val="00E71A03"/>
    <w:rsid w:val="00E93BA9"/>
    <w:rsid w:val="00EA6F78"/>
    <w:rsid w:val="00EF073C"/>
    <w:rsid w:val="00EF3BDA"/>
    <w:rsid w:val="00F06FA5"/>
    <w:rsid w:val="00F144CC"/>
    <w:rsid w:val="00F513CD"/>
    <w:rsid w:val="00F61B47"/>
    <w:rsid w:val="00F74971"/>
    <w:rsid w:val="00F91412"/>
    <w:rsid w:val="00FA183E"/>
    <w:rsid w:val="00FD035B"/>
    <w:rsid w:val="00FD1D63"/>
    <w:rsid w:val="00FD7232"/>
    <w:rsid w:val="00FE6961"/>
    <w:rsid w:val="02E1784D"/>
    <w:rsid w:val="07C2065D"/>
    <w:rsid w:val="0DC82252"/>
    <w:rsid w:val="126A76F7"/>
    <w:rsid w:val="20FB3A2F"/>
    <w:rsid w:val="232C5C6F"/>
    <w:rsid w:val="28A5407E"/>
    <w:rsid w:val="2DBB5A01"/>
    <w:rsid w:val="2F2EE07D"/>
    <w:rsid w:val="2F2F534A"/>
    <w:rsid w:val="32B104C7"/>
    <w:rsid w:val="39300D56"/>
    <w:rsid w:val="3B3F22A7"/>
    <w:rsid w:val="3BB827B9"/>
    <w:rsid w:val="3BFD8903"/>
    <w:rsid w:val="3DAE4F2D"/>
    <w:rsid w:val="3DFF733B"/>
    <w:rsid w:val="3E374AAB"/>
    <w:rsid w:val="3FDF106C"/>
    <w:rsid w:val="3FDFEDB5"/>
    <w:rsid w:val="3FEDC5EC"/>
    <w:rsid w:val="412709F0"/>
    <w:rsid w:val="43596A70"/>
    <w:rsid w:val="47D1C5C2"/>
    <w:rsid w:val="49F72A26"/>
    <w:rsid w:val="4B3D740E"/>
    <w:rsid w:val="4C123492"/>
    <w:rsid w:val="4DE7D765"/>
    <w:rsid w:val="57FF177E"/>
    <w:rsid w:val="5FEF80CE"/>
    <w:rsid w:val="5FFE6936"/>
    <w:rsid w:val="625F2F22"/>
    <w:rsid w:val="66B76E58"/>
    <w:rsid w:val="6B3769DD"/>
    <w:rsid w:val="6D0C7366"/>
    <w:rsid w:val="6DC70733"/>
    <w:rsid w:val="6E5B91E4"/>
    <w:rsid w:val="6EF7B66B"/>
    <w:rsid w:val="6F944D3D"/>
    <w:rsid w:val="6FFF499F"/>
    <w:rsid w:val="6FFFBBD2"/>
    <w:rsid w:val="71E66546"/>
    <w:rsid w:val="737E37C0"/>
    <w:rsid w:val="75EFC4EC"/>
    <w:rsid w:val="77E7F8D0"/>
    <w:rsid w:val="79AA496B"/>
    <w:rsid w:val="7BBF5D5B"/>
    <w:rsid w:val="7BDEAA3F"/>
    <w:rsid w:val="7BE32869"/>
    <w:rsid w:val="7BEF3176"/>
    <w:rsid w:val="7D6B6CBB"/>
    <w:rsid w:val="7D7E41D6"/>
    <w:rsid w:val="7DEFBB66"/>
    <w:rsid w:val="7E07FD38"/>
    <w:rsid w:val="7EDDA1E7"/>
    <w:rsid w:val="7EDFF67B"/>
    <w:rsid w:val="7EEF3B49"/>
    <w:rsid w:val="7EF7D519"/>
    <w:rsid w:val="7F730906"/>
    <w:rsid w:val="7F77A883"/>
    <w:rsid w:val="7FDD3F9C"/>
    <w:rsid w:val="7FFFCAFC"/>
    <w:rsid w:val="895B1F30"/>
    <w:rsid w:val="8F79A5AF"/>
    <w:rsid w:val="9BE76975"/>
    <w:rsid w:val="9BFC378B"/>
    <w:rsid w:val="9F279586"/>
    <w:rsid w:val="9FFF1FA1"/>
    <w:rsid w:val="A7EFE6A2"/>
    <w:rsid w:val="B5DEFE0F"/>
    <w:rsid w:val="BD8BE7BF"/>
    <w:rsid w:val="BDFE9A5A"/>
    <w:rsid w:val="BF8F3D80"/>
    <w:rsid w:val="C26D0C42"/>
    <w:rsid w:val="D76F3ACD"/>
    <w:rsid w:val="D7E71A51"/>
    <w:rsid w:val="DBF7BC04"/>
    <w:rsid w:val="DBFF011F"/>
    <w:rsid w:val="DCFF4D62"/>
    <w:rsid w:val="DEFC0233"/>
    <w:rsid w:val="E5FF0DC7"/>
    <w:rsid w:val="E7F14B3D"/>
    <w:rsid w:val="E9877F5D"/>
    <w:rsid w:val="EBD522FC"/>
    <w:rsid w:val="EBD6E886"/>
    <w:rsid w:val="ECD9230F"/>
    <w:rsid w:val="EEFFC46C"/>
    <w:rsid w:val="F2F6DEF0"/>
    <w:rsid w:val="F4FF6200"/>
    <w:rsid w:val="F5B702D3"/>
    <w:rsid w:val="F5F7840A"/>
    <w:rsid w:val="F7B59407"/>
    <w:rsid w:val="F85F534C"/>
    <w:rsid w:val="FADDAB91"/>
    <w:rsid w:val="FB9D9384"/>
    <w:rsid w:val="FC6CF0DF"/>
    <w:rsid w:val="FE79478E"/>
    <w:rsid w:val="FEC653FC"/>
    <w:rsid w:val="FEEF26D3"/>
    <w:rsid w:val="FF7DB04E"/>
    <w:rsid w:val="FFCF75C9"/>
    <w:rsid w:val="FFDDE534"/>
    <w:rsid w:val="FFF98AA7"/>
    <w:rsid w:val="FFF9BB39"/>
    <w:rsid w:val="FFFCFD49"/>
    <w:rsid w:val="FFFF8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4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5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7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13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qFormat/>
    <w:uiPriority w:val="0"/>
    <w:rPr>
      <w:rFonts w:ascii="Arial" w:hAnsi="Arial" w:eastAsia="宋体" w:cs="Arial"/>
      <w:szCs w:val="20"/>
    </w:rPr>
  </w:style>
  <w:style w:type="paragraph" w:styleId="6">
    <w:name w:val="toc 3"/>
    <w:basedOn w:val="1"/>
    <w:next w:val="1"/>
    <w:unhideWhenUsed/>
    <w:qFormat/>
    <w:uiPriority w:val="39"/>
    <w:pPr>
      <w:ind w:left="840" w:leftChars="400"/>
    </w:pPr>
  </w:style>
  <w:style w:type="paragraph" w:styleId="7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unhideWhenUsed/>
    <w:qFormat/>
    <w:uiPriority w:val="39"/>
  </w:style>
  <w:style w:type="paragraph" w:styleId="10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2">
    <w:name w:val="Hyperlink"/>
    <w:basedOn w:val="1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4">
    <w:name w:val="标题 1 Char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5">
    <w:name w:val="标题 2 Char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16">
    <w:name w:val="List Paragraph"/>
    <w:basedOn w:val="1"/>
    <w:qFormat/>
    <w:uiPriority w:val="34"/>
    <w:pPr>
      <w:ind w:firstLine="420" w:firstLineChars="200"/>
    </w:pPr>
  </w:style>
  <w:style w:type="character" w:customStyle="1" w:styleId="17">
    <w:name w:val="标题 3 Char"/>
    <w:basedOn w:val="11"/>
    <w:link w:val="4"/>
    <w:qFormat/>
    <w:uiPriority w:val="9"/>
    <w:rPr>
      <w:b/>
      <w:bCs/>
      <w:sz w:val="32"/>
      <w:szCs w:val="32"/>
    </w:rPr>
  </w:style>
  <w:style w:type="character" w:customStyle="1" w:styleId="18">
    <w:name w:val="页眉 Char"/>
    <w:basedOn w:val="11"/>
    <w:link w:val="8"/>
    <w:qFormat/>
    <w:uiPriority w:val="99"/>
    <w:rPr>
      <w:sz w:val="18"/>
      <w:szCs w:val="18"/>
    </w:rPr>
  </w:style>
  <w:style w:type="character" w:customStyle="1" w:styleId="19">
    <w:name w:val="页脚 Char"/>
    <w:basedOn w:val="11"/>
    <w:link w:val="7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2" Type="http://schemas.openxmlformats.org/officeDocument/2006/relationships/fontTable" Target="fontTable.xml"/><Relationship Id="rId121" Type="http://schemas.openxmlformats.org/officeDocument/2006/relationships/numbering" Target="numbering.xml"/><Relationship Id="rId120" Type="http://schemas.openxmlformats.org/officeDocument/2006/relationships/customXml" Target="../customXml/item1.xml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20</Pages>
  <Words>856</Words>
  <Characters>4883</Characters>
  <Lines>40</Lines>
  <Paragraphs>11</Paragraphs>
  <ScaleCrop>false</ScaleCrop>
  <LinksUpToDate>false</LinksUpToDate>
  <CharactersWithSpaces>5728</CharactersWithSpaces>
  <Application>WPS Office_3.6.0.5672_F1E327BC-269C-435d-A152-05C5408002CA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2020-04-25T09:33:00Z</dcterms:created>
  <dc:creator>admin</dc:creator>
  <cp:lastModifiedBy>edy</cp:lastModifiedBy>
  <cp:lastPrinted>2020-04-28T01:49:00Z</cp:lastPrinted>
  <dcterms:modified xsi:type="dcterms:W3CDTF">2021-07-13T19:01:29Z</dcterms:modified>
  <cp:revision>26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2052-3.6.0.5672</vt:lpwstr>
  </property>
  <property fmtid="{D5CDD505-2E9C-101B-9397-08002B2CF9AE}" pid="3" name="ICV">
    <vt:lpwstr>B56C27DFE5AF4B69AD10CAF7EF6B284D</vt:lpwstr>
  </property>
</Properties>
</file>